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A88" w:rsidRPr="002A0A9E" w:rsidRDefault="00B86A88" w:rsidP="002A0A9E">
      <w:pPr>
        <w:spacing w:line="360" w:lineRule="auto"/>
        <w:jc w:val="right"/>
        <w:rPr>
          <w:rFonts w:ascii="Times New Roman" w:hAnsi="Times New Roman" w:cs="Times New Roman"/>
          <w:b/>
          <w:color w:val="000000" w:themeColor="text1"/>
          <w:sz w:val="36"/>
          <w:szCs w:val="36"/>
        </w:rPr>
      </w:pPr>
      <w:bookmarkStart w:id="0" w:name="_Hlk480927060"/>
      <w:r w:rsidRPr="002A0A9E">
        <w:rPr>
          <w:rFonts w:ascii="Times New Roman" w:hAnsi="Times New Roman" w:cs="Times New Roman"/>
          <w:b/>
          <w:color w:val="000000" w:themeColor="text1"/>
          <w:sz w:val="36"/>
          <w:szCs w:val="36"/>
        </w:rPr>
        <w:t xml:space="preserve">Ergonomska analiza </w:t>
      </w:r>
      <w:r w:rsidR="002A0A9E" w:rsidRPr="002A0A9E">
        <w:rPr>
          <w:rFonts w:ascii="Times New Roman" w:hAnsi="Times New Roman" w:cs="Times New Roman"/>
          <w:b/>
          <w:color w:val="000000" w:themeColor="text1"/>
          <w:sz w:val="36"/>
          <w:szCs w:val="36"/>
        </w:rPr>
        <w:t xml:space="preserve">pozicije bicikla </w:t>
      </w:r>
      <w:r w:rsidRPr="002A0A9E">
        <w:rPr>
          <w:rFonts w:ascii="Times New Roman" w:hAnsi="Times New Roman" w:cs="Times New Roman"/>
          <w:b/>
          <w:color w:val="000000" w:themeColor="text1"/>
          <w:sz w:val="36"/>
          <w:szCs w:val="36"/>
        </w:rPr>
        <w:t>na brdskim biciklima</w:t>
      </w:r>
    </w:p>
    <w:bookmarkEnd w:id="0"/>
    <w:p w:rsidR="00607072" w:rsidRPr="00EF03A8" w:rsidRDefault="00EF03A8" w:rsidP="00EF03A8">
      <w:pPr>
        <w:spacing w:line="360" w:lineRule="auto"/>
        <w:jc w:val="both"/>
        <w:rPr>
          <w:rFonts w:ascii="Times New Roman" w:hAnsi="Times New Roman" w:cs="Times New Roman"/>
          <w:b/>
          <w:sz w:val="24"/>
          <w:szCs w:val="24"/>
        </w:rPr>
      </w:pPr>
      <w:r w:rsidRPr="00EF03A8">
        <w:rPr>
          <w:rFonts w:ascii="Times New Roman" w:hAnsi="Times New Roman" w:cs="Times New Roman"/>
          <w:b/>
          <w:sz w:val="24"/>
          <w:szCs w:val="24"/>
        </w:rPr>
        <w:t>1.</w:t>
      </w:r>
      <w:r>
        <w:rPr>
          <w:rFonts w:ascii="Times New Roman" w:hAnsi="Times New Roman" w:cs="Times New Roman"/>
          <w:b/>
          <w:sz w:val="24"/>
          <w:szCs w:val="24"/>
        </w:rPr>
        <w:t xml:space="preserve"> </w:t>
      </w:r>
      <w:r w:rsidR="001476F8">
        <w:rPr>
          <w:rFonts w:ascii="Times New Roman" w:hAnsi="Times New Roman" w:cs="Times New Roman"/>
          <w:b/>
          <w:sz w:val="24"/>
          <w:szCs w:val="24"/>
        </w:rPr>
        <w:t>Uvod</w:t>
      </w:r>
    </w:p>
    <w:p w:rsidR="00883D18" w:rsidRPr="006F5C78" w:rsidRDefault="00DC7A1E" w:rsidP="001748D6">
      <w:pPr>
        <w:spacing w:line="360" w:lineRule="auto"/>
        <w:ind w:firstLine="708"/>
        <w:jc w:val="both"/>
        <w:rPr>
          <w:rFonts w:ascii="Times New Roman" w:hAnsi="Times New Roman" w:cs="Times New Roman"/>
          <w:b/>
          <w:sz w:val="24"/>
          <w:szCs w:val="24"/>
        </w:rPr>
      </w:pPr>
      <w:r w:rsidRPr="006F5C78">
        <w:rPr>
          <w:rFonts w:ascii="Times New Roman" w:hAnsi="Times New Roman" w:cs="Times New Roman"/>
          <w:sz w:val="24"/>
          <w:szCs w:val="24"/>
        </w:rPr>
        <w:t>U novije vrijeme biciklizam se sve više razvija te opravdano možemo reći da je, kako u Hrvatskoj tako i u svijetu,  jedan od rastućih sportova. Osim što su sve popularnija velika natjecanja u svim granama biciklizma, sve je više rekreativaca koji za svoj vid zdravijeg života koriste upravo bicikl. Također velika većina sportaša iz drugih sporto</w:t>
      </w:r>
      <w:r w:rsidR="00914116" w:rsidRPr="006F5C78">
        <w:rPr>
          <w:rFonts w:ascii="Times New Roman" w:hAnsi="Times New Roman" w:cs="Times New Roman"/>
          <w:sz w:val="24"/>
          <w:szCs w:val="24"/>
        </w:rPr>
        <w:t>va koristi bicikl u svrhu</w:t>
      </w:r>
      <w:r w:rsidRPr="006F5C78">
        <w:rPr>
          <w:rFonts w:ascii="Times New Roman" w:hAnsi="Times New Roman" w:cs="Times New Roman"/>
          <w:sz w:val="24"/>
          <w:szCs w:val="24"/>
        </w:rPr>
        <w:t xml:space="preserve"> određene vrste treninga. </w:t>
      </w:r>
      <w:r w:rsidR="009F0AC5" w:rsidRPr="006F5C78">
        <w:rPr>
          <w:rFonts w:ascii="Times New Roman" w:hAnsi="Times New Roman" w:cs="Times New Roman"/>
          <w:sz w:val="24"/>
          <w:szCs w:val="24"/>
        </w:rPr>
        <w:t xml:space="preserve">Iako su bicikli za svaku od disciplina uvelike razlikuju, osnovne sastavnice su uvijek jednake. Tako će i prilikom podešavanja ergonomije bicikla velika većina sastavnica biti slična, no ipak ovisno o disciplini moramo obratiti više ili manje pažnje na svaku od sastavnica. Kako navode (Segin i sur. 2017.) bicikl je sastavljen od dvodimenzionalne simetrije, prema tome, bicikl je podesiv, ali ne i prilagodljiv.  Dvije glavne sastavnice prilikom podešavanja bicikla su položaj sjedala te položaj volana. Svaka od sastavnica može se pomicati u više smjerova, pa tako sjedalo možemo podešavati po visini i naprijed-nazad u odnosu na osovinu pogona. S druge strane volan također možemo podešavati po visini, možemo ga udaljavati ili približavati sjedalu, rotirati ga i sužavati ga ili proširivati. Nažalost kako su ozljede sastavni dio svakog sporta tako ih ima i u biciklizmu. Ozljede prednjeg dijela koljena su tendinopatije kvadricepasa, kondromalacija i patelarna tendinopatija. Sve navedene ozljede </w:t>
      </w:r>
      <w:r w:rsidR="00914116" w:rsidRPr="006F5C78">
        <w:rPr>
          <w:rFonts w:ascii="Times New Roman" w:hAnsi="Times New Roman" w:cs="Times New Roman"/>
          <w:sz w:val="24"/>
          <w:szCs w:val="24"/>
        </w:rPr>
        <w:t>povezuju se s prevelikim optereć</w:t>
      </w:r>
      <w:r w:rsidR="009F0AC5" w:rsidRPr="006F5C78">
        <w:rPr>
          <w:rFonts w:ascii="Times New Roman" w:hAnsi="Times New Roman" w:cs="Times New Roman"/>
          <w:sz w:val="24"/>
          <w:szCs w:val="24"/>
        </w:rPr>
        <w:t>enjem u prijenosu, te preniskom visinom sjedala. Popliteus tendinopatija i bolovi u ilio tibijalnom pojasu ozljede su lateralne strane kolj</w:t>
      </w:r>
      <w:r w:rsidR="00914116" w:rsidRPr="006F5C78">
        <w:rPr>
          <w:rFonts w:ascii="Times New Roman" w:hAnsi="Times New Roman" w:cs="Times New Roman"/>
          <w:sz w:val="24"/>
          <w:szCs w:val="24"/>
        </w:rPr>
        <w:t>ena koje su najčešće uzrokovane</w:t>
      </w:r>
      <w:r w:rsidR="009F0AC5" w:rsidRPr="006F5C78">
        <w:rPr>
          <w:rFonts w:ascii="Times New Roman" w:hAnsi="Times New Roman" w:cs="Times New Roman"/>
          <w:sz w:val="24"/>
          <w:szCs w:val="24"/>
        </w:rPr>
        <w:t xml:space="preserve"> pr</w:t>
      </w:r>
      <w:r w:rsidR="00914116" w:rsidRPr="006F5C78">
        <w:rPr>
          <w:rFonts w:ascii="Times New Roman" w:hAnsi="Times New Roman" w:cs="Times New Roman"/>
          <w:sz w:val="24"/>
          <w:szCs w:val="24"/>
        </w:rPr>
        <w:t>eniskom visinom sjedala te loše</w:t>
      </w:r>
      <w:r w:rsidR="009F0AC5" w:rsidRPr="006F5C78">
        <w:rPr>
          <w:rFonts w:ascii="Times New Roman" w:hAnsi="Times New Roman" w:cs="Times New Roman"/>
          <w:sz w:val="24"/>
          <w:szCs w:val="24"/>
        </w:rPr>
        <w:t xml:space="preserve"> postavljenim blokejima pedala. Stražnja strana koljena za sebe veže sindrom sinovijalnih plika i upalu medijalnopatelarnog ligamenta. Ove ozljede najčešće su uzrokovane prenisko postavljenim sjedalom. Bol, a ponekad i otečenost ahilove tetive</w:t>
      </w:r>
      <w:r w:rsidR="00914116" w:rsidRPr="006F5C78">
        <w:rPr>
          <w:rFonts w:ascii="Times New Roman" w:hAnsi="Times New Roman" w:cs="Times New Roman"/>
          <w:sz w:val="24"/>
          <w:szCs w:val="24"/>
        </w:rPr>
        <w:t>,</w:t>
      </w:r>
      <w:r w:rsidR="009F0AC5" w:rsidRPr="006F5C78">
        <w:rPr>
          <w:rFonts w:ascii="Times New Roman" w:hAnsi="Times New Roman" w:cs="Times New Roman"/>
          <w:sz w:val="24"/>
          <w:szCs w:val="24"/>
        </w:rPr>
        <w:t xml:space="preserve"> n</w:t>
      </w:r>
      <w:r w:rsidR="00914116" w:rsidRPr="006F5C78">
        <w:rPr>
          <w:rFonts w:ascii="Times New Roman" w:hAnsi="Times New Roman" w:cs="Times New Roman"/>
          <w:sz w:val="24"/>
          <w:szCs w:val="24"/>
        </w:rPr>
        <w:t>ajčešće je uzrokovana preoptereć</w:t>
      </w:r>
      <w:r w:rsidR="009F0AC5" w:rsidRPr="006F5C78">
        <w:rPr>
          <w:rFonts w:ascii="Times New Roman" w:hAnsi="Times New Roman" w:cs="Times New Roman"/>
          <w:sz w:val="24"/>
          <w:szCs w:val="24"/>
        </w:rPr>
        <w:t>enjem. Jedan od mogućih uzroka je prekomjerna plantarna fleksija koje je uzrok previsoko postavljeno sjedalo (Pruitt i sur. 2013).</w:t>
      </w:r>
      <w:r w:rsidR="00560578" w:rsidRPr="006F5C78">
        <w:t xml:space="preserve"> </w:t>
      </w:r>
      <w:r w:rsidR="00560578" w:rsidRPr="006F5C78">
        <w:rPr>
          <w:rFonts w:ascii="Times New Roman" w:hAnsi="Times New Roman" w:cs="Times New Roman"/>
          <w:sz w:val="24"/>
          <w:szCs w:val="24"/>
        </w:rPr>
        <w:t xml:space="preserve">Najvažniji faktor u očuvanja protoka krvi nije podstavljenost sjedala, već širina sjedala koja daje oslonac sjednim kostima i tako omogućuje nesmetani protok krvi (Schwarzer i sur. 2002). </w:t>
      </w:r>
      <w:r w:rsidR="009F0AC5" w:rsidRPr="006F5C78">
        <w:rPr>
          <w:rFonts w:ascii="Times New Roman" w:hAnsi="Times New Roman" w:cs="Times New Roman"/>
          <w:sz w:val="24"/>
          <w:szCs w:val="24"/>
        </w:rPr>
        <w:t xml:space="preserve"> Kriva pozicija na biciklu može uzrokovati bol i u drugim dijelovima tijela (stopala, dlanovi, leđa,..) koja ne može prouzročiti nikakve ozbiljnije posljedice, ali ju svakako treba sankcionirati. Iz svega navedenog vidljivo je da </w:t>
      </w:r>
      <w:r w:rsidR="00883D18" w:rsidRPr="006F5C78">
        <w:rPr>
          <w:rFonts w:ascii="Times New Roman" w:hAnsi="Times New Roman" w:cs="Times New Roman"/>
          <w:sz w:val="24"/>
          <w:szCs w:val="24"/>
        </w:rPr>
        <w:t xml:space="preserve">je ergonomija bicikla od velike važnosti za postizanje dobrih rezultata kao i za očuvanje zdravlja biciklista. Stoga će </w:t>
      </w:r>
      <w:r w:rsidR="00BA2988" w:rsidRPr="006F5C78">
        <w:rPr>
          <w:rFonts w:ascii="Times New Roman" w:hAnsi="Times New Roman" w:cs="Times New Roman"/>
          <w:sz w:val="24"/>
          <w:szCs w:val="24"/>
        </w:rPr>
        <w:t>ovo istraživanje</w:t>
      </w:r>
      <w:r w:rsidR="00883D18" w:rsidRPr="006F5C78">
        <w:rPr>
          <w:rFonts w:ascii="Times New Roman" w:hAnsi="Times New Roman" w:cs="Times New Roman"/>
          <w:sz w:val="24"/>
          <w:szCs w:val="24"/>
        </w:rPr>
        <w:t xml:space="preserve"> biti </w:t>
      </w:r>
      <w:r w:rsidR="00BA2988" w:rsidRPr="006F5C78">
        <w:rPr>
          <w:rFonts w:ascii="Times New Roman" w:hAnsi="Times New Roman" w:cs="Times New Roman"/>
          <w:sz w:val="24"/>
          <w:szCs w:val="24"/>
        </w:rPr>
        <w:t xml:space="preserve">i </w:t>
      </w:r>
      <w:r w:rsidR="00883D18" w:rsidRPr="006F5C78">
        <w:rPr>
          <w:rFonts w:ascii="Times New Roman" w:hAnsi="Times New Roman" w:cs="Times New Roman"/>
          <w:sz w:val="24"/>
          <w:szCs w:val="24"/>
        </w:rPr>
        <w:t>informiranje biciklista, kako rekreativaca tako i natjecatelja o važnosti ergonomije bicikla te učinaka koje ona ostvaruje.</w:t>
      </w:r>
      <w:r w:rsidR="00E526CB" w:rsidRPr="006F5C78">
        <w:rPr>
          <w:rFonts w:ascii="Times New Roman" w:hAnsi="Times New Roman" w:cs="Times New Roman"/>
          <w:sz w:val="24"/>
          <w:szCs w:val="24"/>
        </w:rPr>
        <w:t xml:space="preserve"> </w:t>
      </w:r>
    </w:p>
    <w:p w:rsidR="003D11EB" w:rsidRPr="006F5C78" w:rsidRDefault="003D11EB" w:rsidP="001748D6">
      <w:pPr>
        <w:spacing w:line="360" w:lineRule="auto"/>
        <w:jc w:val="both"/>
        <w:rPr>
          <w:rFonts w:ascii="Times New Roman" w:hAnsi="Times New Roman" w:cs="Times New Roman"/>
          <w:b/>
          <w:sz w:val="24"/>
          <w:szCs w:val="24"/>
        </w:rPr>
      </w:pPr>
      <w:r w:rsidRPr="006F5C78">
        <w:rPr>
          <w:rFonts w:ascii="Times New Roman" w:hAnsi="Times New Roman" w:cs="Times New Roman"/>
          <w:b/>
          <w:sz w:val="24"/>
          <w:szCs w:val="24"/>
        </w:rPr>
        <w:lastRenderedPageBreak/>
        <w:t>2. Teorijski dio</w:t>
      </w:r>
    </w:p>
    <w:p w:rsidR="006F5C78" w:rsidRPr="006F5C78" w:rsidRDefault="001748D6" w:rsidP="006F5C78">
      <w:pPr>
        <w:spacing w:line="360" w:lineRule="auto"/>
        <w:jc w:val="both"/>
        <w:rPr>
          <w:rFonts w:ascii="Times New Roman" w:hAnsi="Times New Roman" w:cs="Times New Roman"/>
          <w:sz w:val="24"/>
          <w:szCs w:val="24"/>
        </w:rPr>
      </w:pPr>
      <w:r w:rsidRPr="006F5C78">
        <w:rPr>
          <w:rFonts w:ascii="Times New Roman" w:hAnsi="Times New Roman" w:cs="Times New Roman"/>
          <w:b/>
          <w:sz w:val="24"/>
          <w:szCs w:val="24"/>
        </w:rPr>
        <w:t>2.</w:t>
      </w:r>
      <w:r w:rsidR="00540CD5" w:rsidRPr="006F5C78">
        <w:rPr>
          <w:rFonts w:ascii="Times New Roman" w:hAnsi="Times New Roman" w:cs="Times New Roman"/>
          <w:b/>
          <w:sz w:val="24"/>
          <w:szCs w:val="24"/>
        </w:rPr>
        <w:t>1</w:t>
      </w:r>
      <w:r w:rsidRPr="006F5C78">
        <w:rPr>
          <w:rFonts w:ascii="Times New Roman" w:hAnsi="Times New Roman" w:cs="Times New Roman"/>
          <w:b/>
          <w:sz w:val="24"/>
          <w:szCs w:val="24"/>
        </w:rPr>
        <w:t xml:space="preserve">. </w:t>
      </w:r>
      <w:r w:rsidR="00EE581E" w:rsidRPr="006F5C78">
        <w:rPr>
          <w:rFonts w:ascii="Times New Roman" w:hAnsi="Times New Roman" w:cs="Times New Roman"/>
          <w:b/>
          <w:sz w:val="24"/>
          <w:szCs w:val="24"/>
        </w:rPr>
        <w:t>Brdski bicikli</w:t>
      </w:r>
      <w:r w:rsidR="006F5C78" w:rsidRPr="006F5C78">
        <w:rPr>
          <w:rFonts w:ascii="Times New Roman" w:hAnsi="Times New Roman" w:cs="Times New Roman"/>
          <w:sz w:val="24"/>
          <w:szCs w:val="24"/>
        </w:rPr>
        <w:t xml:space="preserve"> </w:t>
      </w:r>
      <w:r w:rsidR="006F5C78" w:rsidRPr="006B7DEE">
        <w:rPr>
          <w:rFonts w:ascii="Times New Roman" w:hAnsi="Times New Roman" w:cs="Times New Roman"/>
          <w:sz w:val="24"/>
          <w:szCs w:val="24"/>
        </w:rPr>
        <w:t>B</w:t>
      </w:r>
      <w:r w:rsidR="006F5C78">
        <w:rPr>
          <w:rFonts w:ascii="Times New Roman" w:hAnsi="Times New Roman" w:cs="Times New Roman"/>
          <w:sz w:val="24"/>
          <w:szCs w:val="24"/>
        </w:rPr>
        <w:t xml:space="preserve">rdski bicikli </w:t>
      </w:r>
      <w:r w:rsidR="006F5C78" w:rsidRPr="00EE581E">
        <w:rPr>
          <w:rFonts w:ascii="Times New Roman" w:hAnsi="Times New Roman" w:cs="Times New Roman"/>
          <w:sz w:val="24"/>
          <w:szCs w:val="24"/>
        </w:rPr>
        <w:t xml:space="preserve"> koriste</w:t>
      </w:r>
      <w:r w:rsidR="006F5C78">
        <w:rPr>
          <w:rFonts w:ascii="Times New Roman" w:hAnsi="Times New Roman" w:cs="Times New Roman"/>
          <w:sz w:val="24"/>
          <w:szCs w:val="24"/>
        </w:rPr>
        <w:t xml:space="preserve"> se</w:t>
      </w:r>
      <w:r w:rsidR="006F5C78" w:rsidRPr="00EE581E">
        <w:rPr>
          <w:rFonts w:ascii="Times New Roman" w:hAnsi="Times New Roman" w:cs="Times New Roman"/>
          <w:sz w:val="24"/>
          <w:szCs w:val="24"/>
        </w:rPr>
        <w:t xml:space="preserve"> za </w:t>
      </w:r>
      <w:r w:rsidR="006F5C78" w:rsidRPr="00EE581E">
        <w:rPr>
          <w:rFonts w:ascii="Times New Roman" w:hAnsi="Times New Roman" w:cs="Times New Roman"/>
          <w:i/>
          <w:sz w:val="24"/>
          <w:szCs w:val="24"/>
        </w:rPr>
        <w:t>cross country</w:t>
      </w:r>
      <w:r w:rsidR="006F5C78" w:rsidRPr="00EE581E">
        <w:rPr>
          <w:rFonts w:ascii="Times New Roman" w:hAnsi="Times New Roman" w:cs="Times New Roman"/>
          <w:sz w:val="24"/>
          <w:szCs w:val="24"/>
        </w:rPr>
        <w:t xml:space="preserve"> natjecanja, ali i u svakodnevnoj upotrebi rekreativaca</w:t>
      </w:r>
      <w:r w:rsidR="006F5C78">
        <w:rPr>
          <w:rFonts w:ascii="Times New Roman" w:hAnsi="Times New Roman" w:cs="Times New Roman"/>
          <w:sz w:val="24"/>
          <w:szCs w:val="24"/>
        </w:rPr>
        <w:t xml:space="preserve">. </w:t>
      </w:r>
      <w:r w:rsidR="006F5C78" w:rsidRPr="00EE581E">
        <w:rPr>
          <w:rFonts w:ascii="Times New Roman" w:hAnsi="Times New Roman" w:cs="Times New Roman"/>
          <w:sz w:val="24"/>
          <w:szCs w:val="24"/>
        </w:rPr>
        <w:t>Okvir je temeljni dio bicikla te se na njega treba obratiti najviše pažnje jer je ujedno i najvažniji dio bicikla. U novije vrijeme izrađuju se najčešće od a</w:t>
      </w:r>
      <w:r w:rsidR="0094185E">
        <w:rPr>
          <w:rFonts w:ascii="Times New Roman" w:hAnsi="Times New Roman" w:cs="Times New Roman"/>
          <w:sz w:val="24"/>
          <w:szCs w:val="24"/>
        </w:rPr>
        <w:t>luminija ili karbona te nešto r</w:t>
      </w:r>
      <w:r w:rsidR="006F5C78" w:rsidRPr="00EE581E">
        <w:rPr>
          <w:rFonts w:ascii="Times New Roman" w:hAnsi="Times New Roman" w:cs="Times New Roman"/>
          <w:sz w:val="24"/>
          <w:szCs w:val="24"/>
        </w:rPr>
        <w:t>jeđe od titana, no još uvijek je moguće nać</w:t>
      </w:r>
      <w:r w:rsidR="006F5C78">
        <w:rPr>
          <w:rFonts w:ascii="Times New Roman" w:hAnsi="Times New Roman" w:cs="Times New Roman"/>
          <w:sz w:val="24"/>
          <w:szCs w:val="24"/>
        </w:rPr>
        <w:t>i starije bicikle kojima je okvi</w:t>
      </w:r>
      <w:r w:rsidR="006F5C78" w:rsidRPr="00EE581E">
        <w:rPr>
          <w:rFonts w:ascii="Times New Roman" w:hAnsi="Times New Roman" w:cs="Times New Roman"/>
          <w:sz w:val="24"/>
          <w:szCs w:val="24"/>
        </w:rPr>
        <w:t>r izrađen od čelika. Veličina bicikla se određuje prema visini vozača. Stražnja i prednja vilica bicikla mogu biti krute ili amortizirane. Amort</w:t>
      </w:r>
      <w:r w:rsidR="006F5C78">
        <w:rPr>
          <w:rFonts w:ascii="Times New Roman" w:hAnsi="Times New Roman" w:cs="Times New Roman"/>
          <w:sz w:val="24"/>
          <w:szCs w:val="24"/>
        </w:rPr>
        <w:t>izacija prednje vilice omogućava</w:t>
      </w:r>
      <w:r w:rsidR="006F5C78" w:rsidRPr="00EE581E">
        <w:rPr>
          <w:rFonts w:ascii="Times New Roman" w:hAnsi="Times New Roman" w:cs="Times New Roman"/>
          <w:sz w:val="24"/>
          <w:szCs w:val="24"/>
        </w:rPr>
        <w:t xml:space="preserve"> udobniju vožnju i bolju kontrolu na ner</w:t>
      </w:r>
      <w:r w:rsidR="006F5C78">
        <w:rPr>
          <w:rFonts w:ascii="Times New Roman" w:hAnsi="Times New Roman" w:cs="Times New Roman"/>
          <w:sz w:val="24"/>
          <w:szCs w:val="24"/>
        </w:rPr>
        <w:t>avninama te smanjuje opterećenja</w:t>
      </w:r>
      <w:r w:rsidR="006F5C78" w:rsidRPr="00EE581E">
        <w:rPr>
          <w:rFonts w:ascii="Times New Roman" w:hAnsi="Times New Roman" w:cs="Times New Roman"/>
          <w:sz w:val="24"/>
          <w:szCs w:val="24"/>
        </w:rPr>
        <w:t xml:space="preserve"> ruku pa je u pravilu imaju svi noviji bicikli. Amortiziranje stražnje</w:t>
      </w:r>
      <w:r w:rsidR="006F5C78">
        <w:rPr>
          <w:rFonts w:ascii="Times New Roman" w:hAnsi="Times New Roman" w:cs="Times New Roman"/>
          <w:sz w:val="24"/>
          <w:szCs w:val="24"/>
        </w:rPr>
        <w:t xml:space="preserve"> vilice je stvar osobnog izbora.</w:t>
      </w:r>
      <w:r w:rsidR="006F5C78" w:rsidRPr="00EE581E">
        <w:rPr>
          <w:rFonts w:ascii="Times New Roman" w:hAnsi="Times New Roman" w:cs="Times New Roman"/>
          <w:sz w:val="24"/>
          <w:szCs w:val="24"/>
        </w:rPr>
        <w:t xml:space="preserve"> Bicikli bez amortizera danas su rijetko viđeni. Pogonski dio brdskog bicikla sastoji se od poluga pedala, pedala, prednjih lančanika, stražnjih lančanika, lanca i mjenjača. Kako se brdski biciklizam iz godine u godinu razvija trenutno su najpopularniji prednji lančanici s jednom ili dvije brzine, te stražnji lančanici s jedanaest ili dvanaest brzina. Kotači se sastoje od obruča, žbica i glavčina. Sve komponente kotača najčešće su izrađene od aluminija, no sve češće se pojavljuju i karbonska vlaka kao materijal, no j</w:t>
      </w:r>
      <w:r w:rsidR="006F5C78">
        <w:rPr>
          <w:rFonts w:ascii="Times New Roman" w:hAnsi="Times New Roman" w:cs="Times New Roman"/>
          <w:sz w:val="24"/>
          <w:szCs w:val="24"/>
        </w:rPr>
        <w:t>oš uvijek su prilično s</w:t>
      </w:r>
      <w:r w:rsidR="006F5C78" w:rsidRPr="00EE581E">
        <w:rPr>
          <w:rFonts w:ascii="Times New Roman" w:hAnsi="Times New Roman" w:cs="Times New Roman"/>
          <w:sz w:val="24"/>
          <w:szCs w:val="24"/>
        </w:rPr>
        <w:t>kupa.</w:t>
      </w:r>
      <w:r w:rsidR="006F5C78">
        <w:rPr>
          <w:rFonts w:ascii="Times New Roman" w:hAnsi="Times New Roman" w:cs="Times New Roman"/>
          <w:sz w:val="24"/>
          <w:szCs w:val="24"/>
        </w:rPr>
        <w:t xml:space="preserve"> </w:t>
      </w:r>
      <w:r w:rsidR="006F5C78" w:rsidRPr="00EE581E">
        <w:rPr>
          <w:rFonts w:ascii="Times New Roman" w:hAnsi="Times New Roman" w:cs="Times New Roman"/>
          <w:sz w:val="24"/>
          <w:szCs w:val="24"/>
        </w:rPr>
        <w:t>Kočnice su kroz povijest brdskog biciklizma izvođene na mnogo različitih načina. Neki su preuzeti iz cestovnog biciklizma, a kasnije sa motocikala. Disk kočnice su puno sigurnije te imaju mnogo veću kočionu snagu od starih kočionih sistema. Upravljač, lula volana te cijev sjedala izrađene su od aluminija ili karbonskih vlakana. Mogu biti različitih dimenzija ovisno o vozačevom oso</w:t>
      </w:r>
      <w:r w:rsidR="0094185E">
        <w:rPr>
          <w:rFonts w:ascii="Times New Roman" w:hAnsi="Times New Roman" w:cs="Times New Roman"/>
          <w:sz w:val="24"/>
          <w:szCs w:val="24"/>
        </w:rPr>
        <w:t>bnom izboru. Sjedalo bicikla mož</w:t>
      </w:r>
      <w:r w:rsidR="006F5C78" w:rsidRPr="00EE581E">
        <w:rPr>
          <w:rFonts w:ascii="Times New Roman" w:hAnsi="Times New Roman" w:cs="Times New Roman"/>
          <w:sz w:val="24"/>
          <w:szCs w:val="24"/>
        </w:rPr>
        <w:t>e biti različitog materijala i debljine, no svakako bi trebalo obratiti pažnju na širinu sjedala jer nam je ona od velike važnosti.</w:t>
      </w:r>
    </w:p>
    <w:p w:rsidR="00EE581E" w:rsidRPr="006F5C78" w:rsidRDefault="006F5C78" w:rsidP="006F5C78">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1748D6" w:rsidRPr="006F5C78">
        <w:rPr>
          <w:rFonts w:ascii="Times New Roman" w:hAnsi="Times New Roman" w:cs="Times New Roman"/>
          <w:b/>
          <w:sz w:val="24"/>
          <w:szCs w:val="24"/>
        </w:rPr>
        <w:t xml:space="preserve">. </w:t>
      </w:r>
      <w:r w:rsidR="00EE581E" w:rsidRPr="006F5C78">
        <w:rPr>
          <w:rFonts w:ascii="Times New Roman" w:hAnsi="Times New Roman" w:cs="Times New Roman"/>
          <w:b/>
          <w:sz w:val="24"/>
          <w:szCs w:val="24"/>
        </w:rPr>
        <w:t>Ergonomija bicikla</w:t>
      </w:r>
      <w:r w:rsidR="00EE581E" w:rsidRPr="006F5C78">
        <w:rPr>
          <w:rFonts w:ascii="Times New Roman" w:hAnsi="Times New Roman" w:cs="Times New Roman"/>
          <w:b/>
          <w:sz w:val="24"/>
          <w:szCs w:val="24"/>
        </w:rPr>
        <w:tab/>
      </w:r>
      <w:r w:rsidR="00EE581E" w:rsidRPr="006F5C78">
        <w:rPr>
          <w:rFonts w:ascii="Times New Roman" w:hAnsi="Times New Roman" w:cs="Times New Roman"/>
          <w:sz w:val="24"/>
          <w:szCs w:val="24"/>
        </w:rPr>
        <w:t>Prvi znanstveni rad o pravilnoj poziciji na biciklu objavljen je krajem šezdesetih godina prošlog stoljeća (Hamley i sur. 1967). Pravilna pozicija na biciklu omogućuje udobnost, te lakoću pedaliranja, a vozačima s više iskustva poboljšanje u izvedbi vožnje (Pruitt i sur. 2013). Vožnja bicikla na bilo kojoj razini, zapravo je zajedništvo „dva stroja“, čovjeka i bicikla. Bicikl je sastavljen od dvodimenzionalne simetrije, prema tome, bicikl je podesiv, ali ne i prilagodljiv. S druge strane, ljudsko tijelo je sastavljeno od kostiju, koje su međusobno povezane, snažnim, ali fleksibilnim tkivima. Kombinacije tkiva čine ljudsko tijelo popustljivim, te sposobnim za rad u teškim uvjetima. Stoga  spoj ovih dvaju strojeva trebao bi biti maksimalno harmoničan s minimalnim rizikom od ozljeda kako navode (Segin i sur. 2017).</w:t>
      </w:r>
      <w:r w:rsidR="003E504B" w:rsidRPr="006F5C78">
        <w:rPr>
          <w:rFonts w:ascii="Times New Roman" w:hAnsi="Times New Roman" w:cs="Times New Roman"/>
          <w:sz w:val="24"/>
          <w:szCs w:val="24"/>
        </w:rPr>
        <w:t xml:space="preserve"> </w:t>
      </w:r>
      <w:r w:rsidR="00EE581E" w:rsidRPr="006F5C78">
        <w:rPr>
          <w:rFonts w:ascii="Times New Roman" w:hAnsi="Times New Roman" w:cs="Times New Roman"/>
          <w:sz w:val="24"/>
          <w:szCs w:val="24"/>
        </w:rPr>
        <w:t>Ključ uspješne pozicije na biciklu je razumijevanje određenih specifičnosti antropometrijske građe pojedinca. Kroz razgovor s vozačem,</w:t>
      </w:r>
      <w:r w:rsidR="00E526CB" w:rsidRPr="006F5C78">
        <w:rPr>
          <w:rFonts w:ascii="Times New Roman" w:hAnsi="Times New Roman" w:cs="Times New Roman"/>
          <w:sz w:val="24"/>
          <w:szCs w:val="24"/>
        </w:rPr>
        <w:t xml:space="preserve"> te s određenim testovima dobivaju se podaci koji uvelike pomažu </w:t>
      </w:r>
      <w:r w:rsidR="00EE581E" w:rsidRPr="006F5C78">
        <w:rPr>
          <w:rFonts w:ascii="Times New Roman" w:hAnsi="Times New Roman" w:cs="Times New Roman"/>
          <w:sz w:val="24"/>
          <w:szCs w:val="24"/>
        </w:rPr>
        <w:t>u daljnjem podešavanju bicikla.</w:t>
      </w:r>
      <w:r w:rsidR="003E504B" w:rsidRPr="006F5C78">
        <w:rPr>
          <w:rFonts w:ascii="Times New Roman" w:hAnsi="Times New Roman" w:cs="Times New Roman"/>
          <w:sz w:val="24"/>
          <w:szCs w:val="24"/>
        </w:rPr>
        <w:t xml:space="preserve"> </w:t>
      </w:r>
      <w:r w:rsidR="00EE581E" w:rsidRPr="006F5C78">
        <w:rPr>
          <w:rFonts w:ascii="Times New Roman" w:hAnsi="Times New Roman" w:cs="Times New Roman"/>
          <w:sz w:val="24"/>
          <w:szCs w:val="24"/>
        </w:rPr>
        <w:t xml:space="preserve">Kada </w:t>
      </w:r>
      <w:r w:rsidR="00EE581E" w:rsidRPr="006F5C78">
        <w:rPr>
          <w:rFonts w:ascii="Times New Roman" w:hAnsi="Times New Roman" w:cs="Times New Roman"/>
          <w:sz w:val="24"/>
          <w:szCs w:val="24"/>
        </w:rPr>
        <w:lastRenderedPageBreak/>
        <w:t>govorimo o poziciji sjedala moguće ga je podešavati po visini te naprijed-nazad. Da bi smanjili rizik od ozlijeđivanja (Holmes i sur. 1994) visinu sjedala treba postaviti tako  da kut u koljenu kada je noga u najnižoj poziciji bude između 25 i 35 stupnjeva. Za položaj sjedala naprijed nazad  važno je za optimalnu učinkovitost i proizvodnju snage da se centar rotacije koljena nalazi iznad centra osovine pedale u horizontalnoj poziciji (Pruitt i sur. 2013).  Upravljač ili volan je jedna od tri ključne točke dodira između biciklista i bicikla. Kriva pozicija volana može naštetiti cijeli kinetički lanac što može voditi do suviše ispruženih laktova, boli u vratu i ramenom pojasu i pritisku na dlanove. Poziciju volana određujemo njegovom širinom, te udaljenosti od tla i sjedala (Fond i sur. 2010). Također od velike je važnosti mišljenje vozača te njegov osjećaj u različitim pozicijama. Uz pomoć toga ćemo odrediti idealnu i specifičnu poziciju za svakog pojedinca. Težiti ćemo kutu od 90 stupnjeva između nadlaktica i trupa, dok bi leđa trebala biti u što prirodnijoj poziciji (Segin i sur. 2017).</w:t>
      </w:r>
      <w:r w:rsidR="00BA2988" w:rsidRPr="006F5C78">
        <w:rPr>
          <w:rFonts w:ascii="Times New Roman" w:hAnsi="Times New Roman" w:cs="Times New Roman"/>
          <w:sz w:val="24"/>
          <w:szCs w:val="24"/>
        </w:rPr>
        <w:t xml:space="preserve"> </w:t>
      </w:r>
      <w:r w:rsidR="00EE581E" w:rsidRPr="006F5C78">
        <w:rPr>
          <w:rFonts w:ascii="Times New Roman" w:hAnsi="Times New Roman" w:cs="Times New Roman"/>
          <w:sz w:val="24"/>
          <w:szCs w:val="24"/>
        </w:rPr>
        <w:t>Nepravilno podstavljena stopala manifestiraju se na koljeno. Tijekom faze potiska na pedalu, prednji dio stopala je u stanju kolapsirati do položaja u kojem je paralelan s pedalom (Hannaford i sur. 1986). Sve to uzrokuje gibanje koljena lijevo-desno, pronaciju i unutarnju rotaciju stopala (Asplund i sur. 2004). S druge strane ovisno o tome koliko je stoplani luk visok odabrati ćemo odgovarajuće uloške koji će popuniti prazninu između potplata cipele i stopala te tako zaustaviti kolapsiranje stopala.</w:t>
      </w:r>
    </w:p>
    <w:p w:rsidR="00EE581E" w:rsidRPr="006F5C78" w:rsidRDefault="00515DF7" w:rsidP="001748D6">
      <w:pPr>
        <w:spacing w:line="360" w:lineRule="auto"/>
        <w:jc w:val="both"/>
        <w:rPr>
          <w:rFonts w:ascii="Times New Roman" w:hAnsi="Times New Roman" w:cs="Times New Roman"/>
          <w:b/>
          <w:sz w:val="24"/>
          <w:szCs w:val="24"/>
        </w:rPr>
      </w:pPr>
      <w:r w:rsidRPr="006F5C78">
        <w:rPr>
          <w:rFonts w:ascii="Times New Roman" w:hAnsi="Times New Roman" w:cs="Times New Roman"/>
          <w:b/>
          <w:sz w:val="24"/>
          <w:szCs w:val="24"/>
        </w:rPr>
        <w:t>3</w:t>
      </w:r>
      <w:r w:rsidR="00EE581E" w:rsidRPr="006F5C78">
        <w:rPr>
          <w:rFonts w:ascii="Times New Roman" w:hAnsi="Times New Roman" w:cs="Times New Roman"/>
          <w:b/>
          <w:sz w:val="24"/>
          <w:szCs w:val="24"/>
        </w:rPr>
        <w:t>. Metode istraživanja</w:t>
      </w:r>
    </w:p>
    <w:p w:rsidR="00540CD5" w:rsidRPr="006F5C78" w:rsidRDefault="00515DF7" w:rsidP="001748D6">
      <w:pPr>
        <w:spacing w:line="360" w:lineRule="auto"/>
        <w:jc w:val="both"/>
        <w:rPr>
          <w:rFonts w:ascii="Times New Roman" w:hAnsi="Times New Roman" w:cs="Times New Roman"/>
          <w:b/>
          <w:sz w:val="24"/>
          <w:szCs w:val="24"/>
        </w:rPr>
      </w:pPr>
      <w:r w:rsidRPr="006F5C78">
        <w:rPr>
          <w:rFonts w:ascii="Times New Roman" w:hAnsi="Times New Roman" w:cs="Times New Roman"/>
          <w:b/>
          <w:sz w:val="24"/>
          <w:szCs w:val="24"/>
        </w:rPr>
        <w:t>3</w:t>
      </w:r>
      <w:r w:rsidR="00EE581E" w:rsidRPr="006F5C78">
        <w:rPr>
          <w:rFonts w:ascii="Times New Roman" w:hAnsi="Times New Roman" w:cs="Times New Roman"/>
          <w:b/>
          <w:sz w:val="24"/>
          <w:szCs w:val="24"/>
        </w:rPr>
        <w:t xml:space="preserve">.1. Ispitanici </w:t>
      </w:r>
      <w:r w:rsidR="00EE581E" w:rsidRPr="006F5C78">
        <w:rPr>
          <w:rFonts w:ascii="Times New Roman" w:hAnsi="Times New Roman" w:cs="Times New Roman"/>
          <w:sz w:val="24"/>
          <w:szCs w:val="24"/>
        </w:rPr>
        <w:t>Istraživanja su provođ</w:t>
      </w:r>
      <w:r w:rsidR="00967AB2" w:rsidRPr="006F5C78">
        <w:rPr>
          <w:rFonts w:ascii="Times New Roman" w:hAnsi="Times New Roman" w:cs="Times New Roman"/>
          <w:sz w:val="24"/>
          <w:szCs w:val="24"/>
        </w:rPr>
        <w:t xml:space="preserve">ena na uzorku od </w:t>
      </w:r>
      <w:r w:rsidR="00BA2988" w:rsidRPr="006F5C78">
        <w:rPr>
          <w:rFonts w:ascii="Times New Roman" w:hAnsi="Times New Roman" w:cs="Times New Roman"/>
          <w:sz w:val="24"/>
          <w:szCs w:val="24"/>
        </w:rPr>
        <w:t>24</w:t>
      </w:r>
      <w:r w:rsidR="00EE581E" w:rsidRPr="006F5C78">
        <w:rPr>
          <w:rFonts w:ascii="Times New Roman" w:hAnsi="Times New Roman" w:cs="Times New Roman"/>
          <w:sz w:val="24"/>
          <w:szCs w:val="24"/>
        </w:rPr>
        <w:t xml:space="preserve"> ispitanika. Ispitani</w:t>
      </w:r>
      <w:r w:rsidR="00540CD5" w:rsidRPr="006F5C78">
        <w:rPr>
          <w:rFonts w:ascii="Times New Roman" w:hAnsi="Times New Roman" w:cs="Times New Roman"/>
          <w:sz w:val="24"/>
          <w:szCs w:val="24"/>
        </w:rPr>
        <w:t>ke</w:t>
      </w:r>
      <w:r w:rsidR="00EE581E" w:rsidRPr="006F5C78">
        <w:rPr>
          <w:rFonts w:ascii="Times New Roman" w:hAnsi="Times New Roman" w:cs="Times New Roman"/>
          <w:sz w:val="24"/>
          <w:szCs w:val="24"/>
        </w:rPr>
        <w:t xml:space="preserve">, odnosno </w:t>
      </w:r>
      <w:r w:rsidR="00540CD5" w:rsidRPr="006F5C78">
        <w:rPr>
          <w:rFonts w:ascii="Times New Roman" w:hAnsi="Times New Roman" w:cs="Times New Roman"/>
          <w:sz w:val="24"/>
          <w:szCs w:val="24"/>
        </w:rPr>
        <w:t>bicikliste</w:t>
      </w:r>
      <w:r w:rsidR="00161E3B" w:rsidRPr="006F5C78">
        <w:rPr>
          <w:rFonts w:ascii="Times New Roman" w:hAnsi="Times New Roman" w:cs="Times New Roman"/>
          <w:sz w:val="24"/>
          <w:szCs w:val="24"/>
        </w:rPr>
        <w:t xml:space="preserve"> čini po</w:t>
      </w:r>
      <w:r w:rsidR="00EE581E" w:rsidRPr="006F5C78">
        <w:rPr>
          <w:rFonts w:ascii="Times New Roman" w:hAnsi="Times New Roman" w:cs="Times New Roman"/>
          <w:sz w:val="24"/>
          <w:szCs w:val="24"/>
        </w:rPr>
        <w:t xml:space="preserve">pulacija starosti između </w:t>
      </w:r>
      <w:r w:rsidR="00BA2988" w:rsidRPr="006F5C78">
        <w:rPr>
          <w:rFonts w:ascii="Times New Roman" w:hAnsi="Times New Roman" w:cs="Times New Roman"/>
          <w:sz w:val="24"/>
          <w:szCs w:val="24"/>
        </w:rPr>
        <w:t>20 i 56</w:t>
      </w:r>
      <w:r w:rsidR="00EE581E" w:rsidRPr="006F5C78">
        <w:rPr>
          <w:rFonts w:ascii="Times New Roman" w:hAnsi="Times New Roman" w:cs="Times New Roman"/>
          <w:sz w:val="24"/>
          <w:szCs w:val="24"/>
        </w:rPr>
        <w:t xml:space="preserve"> godina koji voze </w:t>
      </w:r>
      <w:r w:rsidR="002A0A9E" w:rsidRPr="006F5C78">
        <w:rPr>
          <w:rFonts w:ascii="Times New Roman" w:hAnsi="Times New Roman" w:cs="Times New Roman"/>
          <w:sz w:val="24"/>
          <w:szCs w:val="24"/>
        </w:rPr>
        <w:t xml:space="preserve">brdskim bicikl za </w:t>
      </w:r>
      <w:r w:rsidR="002A0A9E" w:rsidRPr="006F5C78">
        <w:rPr>
          <w:rFonts w:ascii="Times New Roman" w:hAnsi="Times New Roman" w:cs="Times New Roman"/>
          <w:i/>
          <w:sz w:val="24"/>
          <w:szCs w:val="24"/>
        </w:rPr>
        <w:t>cross country</w:t>
      </w:r>
      <w:r w:rsidR="002A0A9E" w:rsidRPr="006F5C78">
        <w:rPr>
          <w:rFonts w:ascii="Times New Roman" w:hAnsi="Times New Roman" w:cs="Times New Roman"/>
          <w:sz w:val="24"/>
          <w:szCs w:val="24"/>
        </w:rPr>
        <w:t xml:space="preserve"> natjecanja </w:t>
      </w:r>
      <w:r w:rsidR="00EE581E" w:rsidRPr="006F5C78">
        <w:rPr>
          <w:rFonts w:ascii="Times New Roman" w:hAnsi="Times New Roman" w:cs="Times New Roman"/>
          <w:sz w:val="24"/>
          <w:szCs w:val="24"/>
        </w:rPr>
        <w:t>dva do pet puta tjedno.</w:t>
      </w:r>
    </w:p>
    <w:p w:rsidR="00EE581E" w:rsidRPr="006F5C78" w:rsidRDefault="003D11EB" w:rsidP="001748D6">
      <w:pPr>
        <w:spacing w:line="360" w:lineRule="auto"/>
        <w:jc w:val="both"/>
        <w:rPr>
          <w:rFonts w:ascii="Times New Roman" w:hAnsi="Times New Roman" w:cs="Times New Roman"/>
          <w:b/>
          <w:sz w:val="24"/>
          <w:szCs w:val="24"/>
        </w:rPr>
      </w:pPr>
      <w:r w:rsidRPr="006F5C78">
        <w:rPr>
          <w:rFonts w:ascii="Times New Roman" w:hAnsi="Times New Roman" w:cs="Times New Roman"/>
          <w:b/>
          <w:sz w:val="24"/>
          <w:szCs w:val="24"/>
        </w:rPr>
        <w:t>3</w:t>
      </w:r>
      <w:r w:rsidR="00EE581E" w:rsidRPr="006F5C78">
        <w:rPr>
          <w:rFonts w:ascii="Times New Roman" w:hAnsi="Times New Roman" w:cs="Times New Roman"/>
          <w:b/>
          <w:sz w:val="24"/>
          <w:szCs w:val="24"/>
        </w:rPr>
        <w:t xml:space="preserve">.2. </w:t>
      </w:r>
      <w:r w:rsidR="00BA2988" w:rsidRPr="006F5C78">
        <w:rPr>
          <w:rFonts w:ascii="Times New Roman" w:hAnsi="Times New Roman" w:cs="Times New Roman"/>
          <w:b/>
          <w:sz w:val="24"/>
          <w:szCs w:val="24"/>
        </w:rPr>
        <w:t>C</w:t>
      </w:r>
      <w:r w:rsidR="002A0A9E" w:rsidRPr="006F5C78">
        <w:rPr>
          <w:rFonts w:ascii="Times New Roman" w:hAnsi="Times New Roman" w:cs="Times New Roman"/>
          <w:b/>
          <w:sz w:val="24"/>
          <w:szCs w:val="24"/>
        </w:rPr>
        <w:t xml:space="preserve">ilj istraživanja  </w:t>
      </w:r>
      <w:r w:rsidR="002A0A9E" w:rsidRPr="006F5C78">
        <w:rPr>
          <w:rFonts w:ascii="Times New Roman" w:hAnsi="Times New Roman" w:cs="Times New Roman"/>
          <w:sz w:val="24"/>
          <w:szCs w:val="24"/>
        </w:rPr>
        <w:t xml:space="preserve">Cilj je utvrditi postojanosti razlike inicijalne i finalne (nakon provedbe podešavanja) pozicije. </w:t>
      </w:r>
      <w:r w:rsidR="00EE581E" w:rsidRPr="006F5C78">
        <w:rPr>
          <w:rFonts w:ascii="Times New Roman" w:hAnsi="Times New Roman" w:cs="Times New Roman"/>
          <w:sz w:val="24"/>
          <w:szCs w:val="24"/>
        </w:rPr>
        <w:t>Svi ispitanici tijekom testiranja koristili su vlastite brdske bicikle. Bicikli su imali karbonski ili aluminijski okvir, veličinu kotača 29</w:t>
      </w:r>
      <w:r w:rsidR="00515DF7" w:rsidRPr="006F5C78">
        <w:rPr>
          <w:rFonts w:ascii="Times New Roman" w:hAnsi="Times New Roman" w:cs="Times New Roman"/>
          <w:sz w:val="24"/>
          <w:szCs w:val="24"/>
        </w:rPr>
        <w:t xml:space="preserve"> </w:t>
      </w:r>
      <w:r w:rsidR="00EE581E" w:rsidRPr="006F5C78">
        <w:rPr>
          <w:rFonts w:ascii="Times New Roman" w:hAnsi="Times New Roman" w:cs="Times New Roman"/>
          <w:sz w:val="24"/>
          <w:szCs w:val="24"/>
        </w:rPr>
        <w:t>cola te prednju ili obje suspenzije.</w:t>
      </w:r>
    </w:p>
    <w:p w:rsidR="00550AD9" w:rsidRPr="006F5C78" w:rsidRDefault="001748D6" w:rsidP="001748D6">
      <w:pPr>
        <w:spacing w:line="360" w:lineRule="auto"/>
        <w:jc w:val="both"/>
        <w:rPr>
          <w:rFonts w:ascii="Times New Roman" w:hAnsi="Times New Roman" w:cs="Times New Roman"/>
          <w:b/>
          <w:sz w:val="24"/>
          <w:szCs w:val="24"/>
        </w:rPr>
      </w:pPr>
      <w:r w:rsidRPr="006F5C78">
        <w:rPr>
          <w:rFonts w:ascii="Times New Roman" w:hAnsi="Times New Roman" w:cs="Times New Roman"/>
          <w:b/>
          <w:sz w:val="24"/>
          <w:szCs w:val="24"/>
        </w:rPr>
        <w:t>3</w:t>
      </w:r>
      <w:r w:rsidR="00EE581E" w:rsidRPr="006F5C78">
        <w:rPr>
          <w:rFonts w:ascii="Times New Roman" w:hAnsi="Times New Roman" w:cs="Times New Roman"/>
          <w:b/>
          <w:sz w:val="24"/>
          <w:szCs w:val="24"/>
        </w:rPr>
        <w:t>.3. Promatrane varijable</w:t>
      </w:r>
      <w:r w:rsidR="006F5C78">
        <w:rPr>
          <w:rFonts w:ascii="Times New Roman" w:hAnsi="Times New Roman" w:cs="Times New Roman"/>
          <w:b/>
          <w:sz w:val="24"/>
          <w:szCs w:val="24"/>
        </w:rPr>
        <w:t xml:space="preserve"> </w:t>
      </w:r>
      <w:r w:rsidR="00EE581E" w:rsidRPr="006F5C78">
        <w:rPr>
          <w:rFonts w:ascii="Times New Roman" w:hAnsi="Times New Roman" w:cs="Times New Roman"/>
          <w:sz w:val="24"/>
          <w:szCs w:val="24"/>
        </w:rPr>
        <w:t xml:space="preserve">Prilikom istraživanja promatrali smo </w:t>
      </w:r>
      <w:r w:rsidR="00BA2988" w:rsidRPr="006F5C78">
        <w:rPr>
          <w:rFonts w:ascii="Times New Roman" w:hAnsi="Times New Roman" w:cs="Times New Roman"/>
          <w:sz w:val="24"/>
          <w:szCs w:val="24"/>
        </w:rPr>
        <w:t>6</w:t>
      </w:r>
      <w:r w:rsidR="00EE581E" w:rsidRPr="006F5C78">
        <w:rPr>
          <w:rFonts w:ascii="Times New Roman" w:hAnsi="Times New Roman" w:cs="Times New Roman"/>
          <w:sz w:val="24"/>
          <w:szCs w:val="24"/>
        </w:rPr>
        <w:t xml:space="preserve"> varijabli koje smo smatrali najznčajnijima prilikom postavljanja idealne ergonomije bicikla. </w:t>
      </w:r>
      <w:r w:rsidR="00BC58D3" w:rsidRPr="006F5C78">
        <w:rPr>
          <w:rFonts w:ascii="Times New Roman" w:hAnsi="Times New Roman" w:cs="Times New Roman"/>
          <w:sz w:val="24"/>
          <w:szCs w:val="24"/>
        </w:rPr>
        <w:t>1. v</w:t>
      </w:r>
      <w:r w:rsidR="00EE581E" w:rsidRPr="006F5C78">
        <w:rPr>
          <w:rFonts w:ascii="Times New Roman" w:hAnsi="Times New Roman" w:cs="Times New Roman"/>
          <w:sz w:val="24"/>
          <w:szCs w:val="24"/>
        </w:rPr>
        <w:t>isina sjedala u milimetrima</w:t>
      </w:r>
      <w:r w:rsidR="00515DF7" w:rsidRPr="006F5C78">
        <w:rPr>
          <w:rFonts w:ascii="Times New Roman" w:hAnsi="Times New Roman" w:cs="Times New Roman"/>
          <w:sz w:val="24"/>
          <w:szCs w:val="24"/>
        </w:rPr>
        <w:t xml:space="preserve"> (VS) prema (Burke 1994) mjeri se</w:t>
      </w:r>
      <w:r w:rsidR="00EE581E" w:rsidRPr="006F5C78">
        <w:rPr>
          <w:rFonts w:ascii="Times New Roman" w:hAnsi="Times New Roman" w:cs="Times New Roman"/>
          <w:sz w:val="24"/>
          <w:szCs w:val="24"/>
        </w:rPr>
        <w:t xml:space="preserve"> između najviše točke sjedala i osovine pedale u najnižoj poziciji, dok većina profesionalnih biciklista i trgovaca biciklima uzimaju mjeru od najviše točke sjedala do sredine osovine pogona (Fonda i sur.  2010), stoga </w:t>
      </w:r>
      <w:r w:rsidR="00515DF7" w:rsidRPr="006F5C78">
        <w:rPr>
          <w:rFonts w:ascii="Times New Roman" w:hAnsi="Times New Roman" w:cs="Times New Roman"/>
          <w:sz w:val="24"/>
          <w:szCs w:val="24"/>
        </w:rPr>
        <w:t>je i u ovom radu uzeta ta mjera.</w:t>
      </w:r>
      <w:r w:rsidR="00EE581E" w:rsidRPr="006F5C78">
        <w:rPr>
          <w:rFonts w:ascii="Times New Roman" w:hAnsi="Times New Roman" w:cs="Times New Roman"/>
          <w:sz w:val="24"/>
          <w:szCs w:val="24"/>
        </w:rPr>
        <w:t xml:space="preserve"> </w:t>
      </w:r>
      <w:r w:rsidR="00BC58D3" w:rsidRPr="006F5C78">
        <w:rPr>
          <w:rFonts w:ascii="Times New Roman" w:hAnsi="Times New Roman" w:cs="Times New Roman"/>
          <w:sz w:val="24"/>
          <w:szCs w:val="24"/>
        </w:rPr>
        <w:t>2. k</w:t>
      </w:r>
      <w:r w:rsidR="00EE581E" w:rsidRPr="006F5C78">
        <w:rPr>
          <w:rFonts w:ascii="Times New Roman" w:hAnsi="Times New Roman" w:cs="Times New Roman"/>
          <w:sz w:val="24"/>
          <w:szCs w:val="24"/>
        </w:rPr>
        <w:t>ut u koljenu</w:t>
      </w:r>
      <w:r w:rsidR="00BC58D3" w:rsidRPr="006F5C78">
        <w:rPr>
          <w:rFonts w:ascii="Times New Roman" w:hAnsi="Times New Roman" w:cs="Times New Roman"/>
          <w:sz w:val="24"/>
          <w:szCs w:val="24"/>
        </w:rPr>
        <w:t xml:space="preserve"> (KK)</w:t>
      </w:r>
      <w:r w:rsidR="00EE581E" w:rsidRPr="006F5C78">
        <w:rPr>
          <w:rFonts w:ascii="Times New Roman" w:hAnsi="Times New Roman" w:cs="Times New Roman"/>
          <w:sz w:val="24"/>
          <w:szCs w:val="24"/>
        </w:rPr>
        <w:t xml:space="preserve"> mjeri se na lateralnoj stani noge, između gležnja, </w:t>
      </w:r>
      <w:r w:rsidR="00EE581E" w:rsidRPr="006F5C78">
        <w:rPr>
          <w:rFonts w:ascii="Times New Roman" w:hAnsi="Times New Roman" w:cs="Times New Roman"/>
          <w:sz w:val="24"/>
          <w:szCs w:val="24"/>
        </w:rPr>
        <w:lastRenderedPageBreak/>
        <w:t xml:space="preserve">epikondila bedrene kosti i velikog trohantera.  </w:t>
      </w:r>
      <w:r w:rsidR="00EE581E" w:rsidRPr="006F5C78">
        <w:rPr>
          <w:rFonts w:ascii="Times New Roman" w:hAnsi="Times New Roman" w:cs="Times New Roman"/>
          <w:color w:val="000000" w:themeColor="text1"/>
          <w:sz w:val="24"/>
          <w:szCs w:val="24"/>
        </w:rPr>
        <w:t>Prema</w:t>
      </w:r>
      <w:r w:rsidR="00EE581E" w:rsidRPr="006F5C78">
        <w:rPr>
          <w:rFonts w:ascii="Times New Roman" w:hAnsi="Times New Roman" w:cs="Times New Roman"/>
          <w:sz w:val="24"/>
          <w:szCs w:val="24"/>
        </w:rPr>
        <w:t xml:space="preserve">  (Holmes i sur. 1994) visinu sjedala treba postaviti tako  da kut u koljenu kada je noga u najnižoj poziciji bude između 25 i 35 stupnjeva. </w:t>
      </w:r>
      <w:r w:rsidR="00515DF7" w:rsidRPr="006F5C78">
        <w:rPr>
          <w:rFonts w:ascii="Times New Roman" w:hAnsi="Times New Roman" w:cs="Times New Roman"/>
          <w:sz w:val="24"/>
          <w:szCs w:val="24"/>
        </w:rPr>
        <w:t>Ergometrijska mjerenja u ovom radu provedena su na osnovi sredine</w:t>
      </w:r>
      <w:r w:rsidR="00EE581E" w:rsidRPr="006F5C78">
        <w:rPr>
          <w:rFonts w:ascii="Times New Roman" w:hAnsi="Times New Roman" w:cs="Times New Roman"/>
          <w:sz w:val="24"/>
          <w:szCs w:val="24"/>
        </w:rPr>
        <w:t xml:space="preserve"> te mjere, što znači 30 stupnjeva.</w:t>
      </w:r>
      <w:r w:rsidR="00BC58D3" w:rsidRPr="006F5C78">
        <w:rPr>
          <w:rFonts w:ascii="Times New Roman" w:hAnsi="Times New Roman" w:cs="Times New Roman"/>
          <w:sz w:val="24"/>
          <w:szCs w:val="24"/>
        </w:rPr>
        <w:t xml:space="preserve"> 3</w:t>
      </w:r>
      <w:r w:rsidR="00BA2988" w:rsidRPr="006F5C78">
        <w:rPr>
          <w:rFonts w:ascii="Times New Roman" w:hAnsi="Times New Roman" w:cs="Times New Roman"/>
          <w:sz w:val="24"/>
          <w:szCs w:val="24"/>
        </w:rPr>
        <w:t>.</w:t>
      </w:r>
      <w:r w:rsidR="00BC58D3" w:rsidRPr="006F5C78">
        <w:rPr>
          <w:rFonts w:ascii="Times New Roman" w:hAnsi="Times New Roman" w:cs="Times New Roman"/>
          <w:sz w:val="24"/>
          <w:szCs w:val="24"/>
        </w:rPr>
        <w:t xml:space="preserve"> z</w:t>
      </w:r>
      <w:r w:rsidR="00EE581E" w:rsidRPr="006F5C78">
        <w:rPr>
          <w:rFonts w:ascii="Times New Roman" w:hAnsi="Times New Roman" w:cs="Times New Roman"/>
          <w:sz w:val="24"/>
          <w:szCs w:val="24"/>
        </w:rPr>
        <w:t>a pomak sjedala naprijed-nazad</w:t>
      </w:r>
      <w:r w:rsidR="00BC58D3" w:rsidRPr="006F5C78">
        <w:rPr>
          <w:rFonts w:ascii="Times New Roman" w:hAnsi="Times New Roman" w:cs="Times New Roman"/>
          <w:sz w:val="24"/>
          <w:szCs w:val="24"/>
        </w:rPr>
        <w:t xml:space="preserve"> (PSNN)</w:t>
      </w:r>
      <w:r w:rsidR="00EE581E" w:rsidRPr="006F5C78">
        <w:rPr>
          <w:rFonts w:ascii="Times New Roman" w:hAnsi="Times New Roman" w:cs="Times New Roman"/>
          <w:sz w:val="24"/>
          <w:szCs w:val="24"/>
        </w:rPr>
        <w:t xml:space="preserve">  važno je za optimalnu učinkovitost i proizvodnju snage da se centar rotacije koljena nalazi iznad centra osovine pedale u horizontalnoj poziciji (Pruitt i sur. 2013).  Ukoliko se centar rotacije koljena nalazio iznad centra osovine pedale odstupanja od centralne pozicije sjedala nije bilo, odnosno iznosila je nulu. Ako se centar rotacije koljena nalazio ispred centra osovine pedale mjere su pozitivne, odnosno negativne ako se centar rotacije koljena nalazio iza centra oso</w:t>
      </w:r>
      <w:r w:rsidR="00515DF7" w:rsidRPr="006F5C78">
        <w:rPr>
          <w:rFonts w:ascii="Times New Roman" w:hAnsi="Times New Roman" w:cs="Times New Roman"/>
          <w:sz w:val="24"/>
          <w:szCs w:val="24"/>
        </w:rPr>
        <w:t>vine pedale. Mjere su izražene</w:t>
      </w:r>
      <w:r w:rsidR="00EE581E" w:rsidRPr="006F5C78">
        <w:rPr>
          <w:rFonts w:ascii="Times New Roman" w:hAnsi="Times New Roman" w:cs="Times New Roman"/>
          <w:sz w:val="24"/>
          <w:szCs w:val="24"/>
        </w:rPr>
        <w:t xml:space="preserve"> u milimetrima.</w:t>
      </w:r>
      <w:r w:rsidR="00BC58D3" w:rsidRPr="006F5C78">
        <w:rPr>
          <w:rFonts w:ascii="Times New Roman" w:hAnsi="Times New Roman" w:cs="Times New Roman"/>
          <w:sz w:val="24"/>
          <w:szCs w:val="24"/>
        </w:rPr>
        <w:t xml:space="preserve"> 4. u</w:t>
      </w:r>
      <w:r w:rsidR="00EE581E" w:rsidRPr="006F5C78">
        <w:rPr>
          <w:rFonts w:ascii="Times New Roman" w:hAnsi="Times New Roman" w:cs="Times New Roman"/>
          <w:sz w:val="24"/>
          <w:szCs w:val="24"/>
        </w:rPr>
        <w:t>daljenost sjedala od volana</w:t>
      </w:r>
      <w:r w:rsidR="00BC58D3" w:rsidRPr="006F5C78">
        <w:rPr>
          <w:rFonts w:ascii="Times New Roman" w:hAnsi="Times New Roman" w:cs="Times New Roman"/>
          <w:sz w:val="24"/>
          <w:szCs w:val="24"/>
        </w:rPr>
        <w:t>(USV)</w:t>
      </w:r>
      <w:r w:rsidR="00EE581E" w:rsidRPr="006F5C78">
        <w:rPr>
          <w:rFonts w:ascii="Times New Roman" w:hAnsi="Times New Roman" w:cs="Times New Roman"/>
          <w:sz w:val="24"/>
          <w:szCs w:val="24"/>
        </w:rPr>
        <w:t xml:space="preserve"> mjeri se u milimetrima. Mjera se uzima između sredine volana i vrha sjedala.</w:t>
      </w:r>
      <w:r w:rsidR="00BC58D3" w:rsidRPr="006F5C78">
        <w:rPr>
          <w:rFonts w:ascii="Times New Roman" w:hAnsi="Times New Roman" w:cs="Times New Roman"/>
          <w:sz w:val="24"/>
          <w:szCs w:val="24"/>
        </w:rPr>
        <w:t xml:space="preserve"> 5. k</w:t>
      </w:r>
      <w:r w:rsidR="00EE581E" w:rsidRPr="006F5C78">
        <w:rPr>
          <w:rFonts w:ascii="Times New Roman" w:hAnsi="Times New Roman" w:cs="Times New Roman"/>
          <w:sz w:val="24"/>
          <w:szCs w:val="24"/>
        </w:rPr>
        <w:t>ut između trupa i nadlaktice</w:t>
      </w:r>
      <w:r w:rsidR="00BC58D3" w:rsidRPr="006F5C78">
        <w:rPr>
          <w:rFonts w:ascii="Times New Roman" w:hAnsi="Times New Roman" w:cs="Times New Roman"/>
          <w:sz w:val="24"/>
          <w:szCs w:val="24"/>
        </w:rPr>
        <w:t>(KITN)</w:t>
      </w:r>
      <w:r w:rsidR="00EE581E" w:rsidRPr="006F5C78">
        <w:rPr>
          <w:rFonts w:ascii="Times New Roman" w:hAnsi="Times New Roman" w:cs="Times New Roman"/>
          <w:sz w:val="24"/>
          <w:szCs w:val="24"/>
        </w:rPr>
        <w:t xml:space="preserve"> manifestira se razlikom između visine volana i sjedala te udaljenošću volana od sjedala. Težiti ćemo kutu od 90 stupnjeva kako navode (Segin i sur. 2017). Ukoliko je volan postavljen suviše daleko kut će biti veći od 90 stupnjeva, odnosno manji od 90 stupnjeva ako je</w:t>
      </w:r>
      <w:r w:rsidR="00BC58D3" w:rsidRPr="006F5C78">
        <w:rPr>
          <w:rFonts w:ascii="Times New Roman" w:hAnsi="Times New Roman" w:cs="Times New Roman"/>
          <w:sz w:val="24"/>
          <w:szCs w:val="24"/>
        </w:rPr>
        <w:t xml:space="preserve"> volan postavljen previše blizu. 6. r</w:t>
      </w:r>
      <w:r w:rsidR="00EE581E" w:rsidRPr="006F5C78">
        <w:rPr>
          <w:rFonts w:ascii="Times New Roman" w:hAnsi="Times New Roman" w:cs="Times New Roman"/>
          <w:sz w:val="24"/>
          <w:szCs w:val="24"/>
        </w:rPr>
        <w:t>azlika između visine sjedala i visine volana</w:t>
      </w:r>
      <w:r w:rsidR="00BC58D3" w:rsidRPr="006F5C78">
        <w:rPr>
          <w:rFonts w:ascii="Times New Roman" w:hAnsi="Times New Roman" w:cs="Times New Roman"/>
          <w:sz w:val="24"/>
          <w:szCs w:val="24"/>
        </w:rPr>
        <w:t>(RVSVV)</w:t>
      </w:r>
      <w:r w:rsidR="00EE581E" w:rsidRPr="006F5C78">
        <w:rPr>
          <w:rFonts w:ascii="Times New Roman" w:hAnsi="Times New Roman" w:cs="Times New Roman"/>
          <w:sz w:val="24"/>
          <w:szCs w:val="24"/>
        </w:rPr>
        <w:t xml:space="preserve"> mjeri se u milimetrima. Na visinu volana utječe fleksibilnost te opseg pokreta u pojedinom zglobu tijela biciklista te će ona biti podešena sukladno tome. Ukoliko je sjedalo višlje od visine volana mjere će biti negativne, odnosno pozitivne ako je sjedalo niže od visine volana.</w:t>
      </w:r>
    </w:p>
    <w:p w:rsidR="00515DF7" w:rsidRPr="006F5C78" w:rsidRDefault="00515DF7" w:rsidP="001748D6">
      <w:pPr>
        <w:spacing w:line="360" w:lineRule="auto"/>
        <w:jc w:val="both"/>
        <w:rPr>
          <w:rFonts w:ascii="Times New Roman" w:hAnsi="Times New Roman" w:cs="Times New Roman"/>
          <w:b/>
          <w:sz w:val="24"/>
          <w:szCs w:val="24"/>
        </w:rPr>
      </w:pPr>
      <w:r w:rsidRPr="006F5C78">
        <w:rPr>
          <w:rFonts w:ascii="Times New Roman" w:hAnsi="Times New Roman" w:cs="Times New Roman"/>
          <w:b/>
          <w:sz w:val="24"/>
          <w:szCs w:val="24"/>
        </w:rPr>
        <w:t>4</w:t>
      </w:r>
      <w:r w:rsidR="00EE581E" w:rsidRPr="006F5C78">
        <w:rPr>
          <w:rFonts w:ascii="Times New Roman" w:hAnsi="Times New Roman" w:cs="Times New Roman"/>
          <w:b/>
          <w:sz w:val="24"/>
          <w:szCs w:val="24"/>
        </w:rPr>
        <w:t>.</w:t>
      </w:r>
      <w:r w:rsidRPr="006F5C78">
        <w:rPr>
          <w:rFonts w:ascii="Times New Roman" w:hAnsi="Times New Roman" w:cs="Times New Roman"/>
          <w:b/>
          <w:sz w:val="24"/>
          <w:szCs w:val="24"/>
        </w:rPr>
        <w:t xml:space="preserve"> Rezultati i rasprava</w:t>
      </w:r>
      <w:r w:rsidR="006F5C78">
        <w:rPr>
          <w:rFonts w:ascii="Times New Roman" w:hAnsi="Times New Roman" w:cs="Times New Roman"/>
          <w:b/>
          <w:sz w:val="24"/>
          <w:szCs w:val="24"/>
        </w:rPr>
        <w:t xml:space="preserve"> </w:t>
      </w:r>
      <w:r w:rsidR="00EA284D" w:rsidRPr="006F5C78">
        <w:rPr>
          <w:rFonts w:ascii="Times New Roman" w:hAnsi="Times New Roman" w:cs="Times New Roman"/>
          <w:sz w:val="24"/>
          <w:szCs w:val="24"/>
        </w:rPr>
        <w:t>P</w:t>
      </w:r>
      <w:r w:rsidRPr="006F5C78">
        <w:rPr>
          <w:rFonts w:ascii="Times New Roman" w:hAnsi="Times New Roman" w:cs="Times New Roman"/>
          <w:sz w:val="24"/>
          <w:szCs w:val="24"/>
        </w:rPr>
        <w:t xml:space="preserve">romatranjem visine sjedala kod rekreativaca prilikom inicijalnog i finalnog mjerenja možemo uočiti da niti jedan ispitanik nije imao dobro namještenu visinu sjedala (slika 1.). </w:t>
      </w:r>
      <w:r w:rsidR="004E6317" w:rsidRPr="006F5C78">
        <w:rPr>
          <w:rFonts w:ascii="Times New Roman" w:hAnsi="Times New Roman" w:cs="Times New Roman"/>
          <w:noProof/>
          <w:sz w:val="24"/>
          <w:szCs w:val="24"/>
          <w:lang w:eastAsia="hr-HR"/>
        </w:rPr>
        <w:t>Prosječna razlika iznosila  je 15,45 milimetara</w:t>
      </w:r>
      <w:r w:rsidR="004252EE" w:rsidRPr="006F5C78">
        <w:rPr>
          <w:rFonts w:ascii="Times New Roman" w:hAnsi="Times New Roman" w:cs="Times New Roman"/>
          <w:noProof/>
          <w:sz w:val="24"/>
          <w:szCs w:val="24"/>
          <w:lang w:eastAsia="hr-HR"/>
        </w:rPr>
        <w:t xml:space="preserve">, </w:t>
      </w:r>
      <w:r w:rsidRPr="006F5C78">
        <w:rPr>
          <w:rFonts w:ascii="Times New Roman" w:hAnsi="Times New Roman" w:cs="Times New Roman"/>
          <w:sz w:val="24"/>
          <w:szCs w:val="24"/>
        </w:rPr>
        <w:t>kod 70,8% is</w:t>
      </w:r>
      <w:r w:rsidR="004252EE" w:rsidRPr="006F5C78">
        <w:rPr>
          <w:rFonts w:ascii="Times New Roman" w:hAnsi="Times New Roman" w:cs="Times New Roman"/>
          <w:sz w:val="24"/>
          <w:szCs w:val="24"/>
        </w:rPr>
        <w:t>pitanika sjedalo trebalo podići,</w:t>
      </w:r>
      <w:r w:rsidRPr="006F5C78">
        <w:rPr>
          <w:rFonts w:ascii="Times New Roman" w:hAnsi="Times New Roman" w:cs="Times New Roman"/>
          <w:sz w:val="24"/>
          <w:szCs w:val="24"/>
        </w:rPr>
        <w:t xml:space="preserve"> kod 20,8% ispitanika sjedalo je trebalo spustiti. Svega dvoje ispitanika imalo je odgovarajuću visinu sjedala, odnosno 8,4% ispitanika. </w:t>
      </w:r>
    </w:p>
    <w:p w:rsidR="00515DF7" w:rsidRPr="006F5C78" w:rsidRDefault="00515DF7" w:rsidP="00EE581E">
      <w:pPr>
        <w:jc w:val="both"/>
        <w:rPr>
          <w:rFonts w:ascii="Times New Roman" w:hAnsi="Times New Roman" w:cs="Times New Roman"/>
          <w:b/>
          <w:sz w:val="24"/>
          <w:szCs w:val="24"/>
        </w:rPr>
      </w:pPr>
      <w:r w:rsidRPr="006F5C78">
        <w:rPr>
          <w:noProof/>
          <w:lang w:val="en-US"/>
        </w:rPr>
        <w:drawing>
          <wp:inline distT="0" distB="0" distL="0" distR="0" wp14:anchorId="6FD46F28" wp14:editId="43B954CE">
            <wp:extent cx="5964072" cy="1712794"/>
            <wp:effectExtent l="0" t="0" r="17780" b="20955"/>
            <wp:docPr id="1" name="Grafikon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E581E" w:rsidRPr="006F5C78">
        <w:rPr>
          <w:rFonts w:ascii="Times New Roman" w:hAnsi="Times New Roman" w:cs="Times New Roman"/>
          <w:b/>
          <w:sz w:val="24"/>
          <w:szCs w:val="24"/>
        </w:rPr>
        <w:tab/>
      </w:r>
    </w:p>
    <w:p w:rsidR="00EE581E" w:rsidRPr="006F5C78" w:rsidRDefault="00515DF7" w:rsidP="001748D6">
      <w:pPr>
        <w:spacing w:line="360" w:lineRule="auto"/>
        <w:jc w:val="both"/>
        <w:rPr>
          <w:rFonts w:ascii="Times New Roman" w:hAnsi="Times New Roman" w:cs="Times New Roman"/>
          <w:sz w:val="20"/>
          <w:szCs w:val="20"/>
        </w:rPr>
      </w:pPr>
      <w:bookmarkStart w:id="1" w:name="_Hlk480914228"/>
      <w:r w:rsidRPr="006F5C78">
        <w:rPr>
          <w:rFonts w:ascii="Times New Roman" w:hAnsi="Times New Roman" w:cs="Times New Roman"/>
          <w:b/>
          <w:sz w:val="20"/>
          <w:szCs w:val="20"/>
        </w:rPr>
        <w:t>Slika 1</w:t>
      </w:r>
      <w:r w:rsidRPr="006F5C78">
        <w:rPr>
          <w:rFonts w:ascii="Times New Roman" w:hAnsi="Times New Roman" w:cs="Times New Roman"/>
          <w:sz w:val="20"/>
          <w:szCs w:val="20"/>
        </w:rPr>
        <w:t xml:space="preserve">. </w:t>
      </w:r>
      <w:r w:rsidR="00EE581E" w:rsidRPr="006F5C78">
        <w:rPr>
          <w:rFonts w:ascii="Times New Roman" w:hAnsi="Times New Roman" w:cs="Times New Roman"/>
          <w:sz w:val="20"/>
          <w:szCs w:val="20"/>
        </w:rPr>
        <w:t>Inicijalne i finalne</w:t>
      </w:r>
      <w:r w:rsidRPr="006F5C78">
        <w:rPr>
          <w:rFonts w:ascii="Times New Roman" w:hAnsi="Times New Roman" w:cs="Times New Roman"/>
          <w:sz w:val="20"/>
          <w:szCs w:val="20"/>
        </w:rPr>
        <w:t xml:space="preserve"> vrijednosti za </w:t>
      </w:r>
      <w:r w:rsidR="00097398" w:rsidRPr="006F5C78">
        <w:rPr>
          <w:rFonts w:ascii="Times New Roman" w:hAnsi="Times New Roman" w:cs="Times New Roman"/>
          <w:sz w:val="20"/>
          <w:szCs w:val="20"/>
        </w:rPr>
        <w:t>visine sjedala</w:t>
      </w:r>
      <w:bookmarkEnd w:id="1"/>
      <w:r w:rsidR="00097398" w:rsidRPr="006F5C78">
        <w:rPr>
          <w:rFonts w:ascii="Times New Roman" w:hAnsi="Times New Roman" w:cs="Times New Roman"/>
          <w:sz w:val="20"/>
          <w:szCs w:val="20"/>
        </w:rPr>
        <w:t>.</w:t>
      </w:r>
    </w:p>
    <w:p w:rsidR="00515DF7" w:rsidRPr="006F5C78" w:rsidRDefault="00515DF7" w:rsidP="006F5C78">
      <w:pPr>
        <w:rPr>
          <w:rFonts w:ascii="Times New Roman" w:hAnsi="Times New Roman" w:cs="Times New Roman"/>
          <w:noProof/>
          <w:sz w:val="24"/>
          <w:szCs w:val="24"/>
          <w:lang w:eastAsia="hr-HR"/>
        </w:rPr>
      </w:pPr>
      <w:r w:rsidRPr="006F5C78">
        <w:rPr>
          <w:rFonts w:ascii="Times New Roman" w:hAnsi="Times New Roman" w:cs="Times New Roman"/>
          <w:noProof/>
          <w:sz w:val="24"/>
          <w:szCs w:val="24"/>
          <w:lang w:eastAsia="hr-HR"/>
        </w:rPr>
        <w:lastRenderedPageBreak/>
        <w:t xml:space="preserve">Kada promatramo kut u koljenu u stupnjevima </w:t>
      </w:r>
      <w:r w:rsidR="004E6317" w:rsidRPr="006F5C78">
        <w:rPr>
          <w:rFonts w:ascii="Times New Roman" w:hAnsi="Times New Roman" w:cs="Times New Roman"/>
          <w:noProof/>
          <w:sz w:val="24"/>
          <w:szCs w:val="24"/>
          <w:lang w:eastAsia="hr-HR"/>
        </w:rPr>
        <w:t xml:space="preserve">(slika 2.) </w:t>
      </w:r>
      <w:r w:rsidRPr="006F5C78">
        <w:rPr>
          <w:rFonts w:ascii="Times New Roman" w:hAnsi="Times New Roman" w:cs="Times New Roman"/>
          <w:noProof/>
          <w:sz w:val="24"/>
          <w:szCs w:val="24"/>
          <w:lang w:eastAsia="hr-HR"/>
        </w:rPr>
        <w:t xml:space="preserve">možemo uočiti da </w:t>
      </w:r>
      <w:r w:rsidR="00097398" w:rsidRPr="006F5C78">
        <w:rPr>
          <w:rFonts w:ascii="Times New Roman" w:hAnsi="Times New Roman" w:cs="Times New Roman"/>
          <w:noProof/>
          <w:sz w:val="24"/>
          <w:szCs w:val="24"/>
          <w:lang w:eastAsia="hr-HR"/>
        </w:rPr>
        <w:t xml:space="preserve">je </w:t>
      </w:r>
      <w:r w:rsidRPr="006F5C78">
        <w:rPr>
          <w:rFonts w:ascii="Times New Roman" w:hAnsi="Times New Roman" w:cs="Times New Roman"/>
          <w:noProof/>
          <w:sz w:val="24"/>
          <w:szCs w:val="24"/>
          <w:lang w:eastAsia="hr-HR"/>
        </w:rPr>
        <w:t xml:space="preserve">kod 70,8% ispitanika kut </w:t>
      </w:r>
      <w:r w:rsidR="00097398" w:rsidRPr="006F5C78">
        <w:rPr>
          <w:rFonts w:ascii="Times New Roman" w:hAnsi="Times New Roman" w:cs="Times New Roman"/>
          <w:noProof/>
          <w:sz w:val="24"/>
          <w:szCs w:val="24"/>
          <w:lang w:eastAsia="hr-HR"/>
        </w:rPr>
        <w:t>pre</w:t>
      </w:r>
      <w:r w:rsidRPr="006F5C78">
        <w:rPr>
          <w:rFonts w:ascii="Times New Roman" w:hAnsi="Times New Roman" w:cs="Times New Roman"/>
          <w:noProof/>
          <w:sz w:val="24"/>
          <w:szCs w:val="24"/>
          <w:lang w:eastAsia="hr-HR"/>
        </w:rPr>
        <w:t>vel</w:t>
      </w:r>
      <w:r w:rsidR="00EA284D" w:rsidRPr="006F5C78">
        <w:rPr>
          <w:rFonts w:ascii="Times New Roman" w:hAnsi="Times New Roman" w:cs="Times New Roman"/>
          <w:noProof/>
          <w:sz w:val="24"/>
          <w:szCs w:val="24"/>
          <w:lang w:eastAsia="hr-HR"/>
        </w:rPr>
        <w:t>ik,</w:t>
      </w:r>
      <w:r w:rsidRPr="006F5C78">
        <w:rPr>
          <w:rFonts w:ascii="Times New Roman" w:hAnsi="Times New Roman" w:cs="Times New Roman"/>
          <w:noProof/>
          <w:sz w:val="24"/>
          <w:szCs w:val="24"/>
          <w:lang w:eastAsia="hr-HR"/>
        </w:rPr>
        <w:t xml:space="preserve"> </w:t>
      </w:r>
      <w:r w:rsidR="00EA284D" w:rsidRPr="006F5C78">
        <w:rPr>
          <w:rFonts w:ascii="Times New Roman" w:hAnsi="Times New Roman" w:cs="Times New Roman"/>
          <w:noProof/>
          <w:sz w:val="24"/>
          <w:szCs w:val="24"/>
          <w:lang w:eastAsia="hr-HR"/>
        </w:rPr>
        <w:t>kod</w:t>
      </w:r>
      <w:r w:rsidRPr="006F5C78">
        <w:rPr>
          <w:rFonts w:ascii="Times New Roman" w:hAnsi="Times New Roman" w:cs="Times New Roman"/>
          <w:noProof/>
          <w:sz w:val="24"/>
          <w:szCs w:val="24"/>
          <w:lang w:eastAsia="hr-HR"/>
        </w:rPr>
        <w:t xml:space="preserve"> 8,4% ispitanika </w:t>
      </w:r>
      <w:r w:rsidR="00EA284D" w:rsidRPr="006F5C78">
        <w:rPr>
          <w:rFonts w:ascii="Times New Roman" w:hAnsi="Times New Roman" w:cs="Times New Roman"/>
          <w:noProof/>
          <w:sz w:val="24"/>
          <w:szCs w:val="24"/>
          <w:lang w:eastAsia="hr-HR"/>
        </w:rPr>
        <w:t xml:space="preserve">odgovarajućia a </w:t>
      </w:r>
      <w:r w:rsidRPr="006F5C78">
        <w:rPr>
          <w:rFonts w:ascii="Times New Roman" w:hAnsi="Times New Roman" w:cs="Times New Roman"/>
          <w:noProof/>
          <w:sz w:val="24"/>
          <w:szCs w:val="24"/>
          <w:lang w:eastAsia="hr-HR"/>
        </w:rPr>
        <w:t xml:space="preserve">20,8% ispitanika </w:t>
      </w:r>
      <w:r w:rsidR="00097398" w:rsidRPr="006F5C78">
        <w:rPr>
          <w:rFonts w:ascii="Times New Roman" w:hAnsi="Times New Roman" w:cs="Times New Roman"/>
          <w:noProof/>
          <w:sz w:val="24"/>
          <w:szCs w:val="24"/>
          <w:lang w:eastAsia="hr-HR"/>
        </w:rPr>
        <w:t>pre</w:t>
      </w:r>
      <w:r w:rsidRPr="006F5C78">
        <w:rPr>
          <w:rFonts w:ascii="Times New Roman" w:hAnsi="Times New Roman" w:cs="Times New Roman"/>
          <w:noProof/>
          <w:sz w:val="24"/>
          <w:szCs w:val="24"/>
          <w:lang w:eastAsia="hr-HR"/>
        </w:rPr>
        <w:t>mali</w:t>
      </w:r>
      <w:r w:rsidR="00EA284D" w:rsidRPr="006F5C78">
        <w:rPr>
          <w:rFonts w:ascii="Times New Roman" w:hAnsi="Times New Roman" w:cs="Times New Roman"/>
          <w:noProof/>
          <w:sz w:val="24"/>
          <w:szCs w:val="24"/>
          <w:lang w:eastAsia="hr-HR"/>
        </w:rPr>
        <w:t>.</w:t>
      </w:r>
      <w:r w:rsidRPr="006F5C78">
        <w:rPr>
          <w:rFonts w:ascii="Times New Roman" w:hAnsi="Times New Roman" w:cs="Times New Roman"/>
          <w:noProof/>
          <w:sz w:val="24"/>
          <w:szCs w:val="24"/>
          <w:lang w:eastAsia="hr-HR"/>
        </w:rPr>
        <w:t xml:space="preserve"> </w:t>
      </w:r>
    </w:p>
    <w:p w:rsidR="00515DF7" w:rsidRPr="006F5C78" w:rsidRDefault="00515DF7" w:rsidP="00EE581E">
      <w:pPr>
        <w:jc w:val="both"/>
        <w:rPr>
          <w:rFonts w:ascii="Times New Roman" w:hAnsi="Times New Roman" w:cs="Times New Roman"/>
          <w:noProof/>
          <w:sz w:val="24"/>
          <w:szCs w:val="24"/>
          <w:lang w:eastAsia="hr-HR"/>
        </w:rPr>
      </w:pPr>
      <w:r w:rsidRPr="006F5C78">
        <w:rPr>
          <w:noProof/>
          <w:lang w:val="en-US"/>
        </w:rPr>
        <w:drawing>
          <wp:inline distT="0" distB="0" distL="0" distR="0" wp14:anchorId="37F745AB" wp14:editId="24387B01">
            <wp:extent cx="5638800" cy="1666875"/>
            <wp:effectExtent l="0" t="0" r="19050" b="9525"/>
            <wp:docPr id="7" name="Grafikon 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5DF7" w:rsidRPr="006F5C78" w:rsidRDefault="004E6317" w:rsidP="001748D6">
      <w:pPr>
        <w:spacing w:line="360" w:lineRule="auto"/>
        <w:jc w:val="both"/>
        <w:rPr>
          <w:rFonts w:ascii="Times New Roman" w:hAnsi="Times New Roman" w:cs="Times New Roman"/>
          <w:noProof/>
          <w:sz w:val="20"/>
          <w:szCs w:val="20"/>
          <w:lang w:eastAsia="hr-HR"/>
        </w:rPr>
      </w:pPr>
      <w:r w:rsidRPr="006F5C78">
        <w:rPr>
          <w:rFonts w:ascii="Times New Roman" w:hAnsi="Times New Roman" w:cs="Times New Roman"/>
          <w:b/>
          <w:noProof/>
          <w:sz w:val="20"/>
          <w:szCs w:val="20"/>
          <w:lang w:eastAsia="hr-HR"/>
        </w:rPr>
        <w:t>Slika 2</w:t>
      </w:r>
      <w:r w:rsidR="00515DF7" w:rsidRPr="006F5C78">
        <w:rPr>
          <w:rFonts w:ascii="Times New Roman" w:hAnsi="Times New Roman" w:cs="Times New Roman"/>
          <w:b/>
          <w:noProof/>
          <w:sz w:val="20"/>
          <w:szCs w:val="20"/>
          <w:lang w:eastAsia="hr-HR"/>
        </w:rPr>
        <w:t>.</w:t>
      </w:r>
      <w:r w:rsidR="00515DF7" w:rsidRPr="006F5C78">
        <w:rPr>
          <w:rFonts w:ascii="Times New Roman" w:hAnsi="Times New Roman" w:cs="Times New Roman"/>
          <w:noProof/>
          <w:sz w:val="20"/>
          <w:szCs w:val="20"/>
          <w:lang w:eastAsia="hr-HR"/>
        </w:rPr>
        <w:t xml:space="preserve"> Razlika između inicijalne i finalne vrijednosti za  </w:t>
      </w:r>
      <w:r w:rsidR="00097398" w:rsidRPr="006F5C78">
        <w:rPr>
          <w:rFonts w:ascii="Times New Roman" w:hAnsi="Times New Roman" w:cs="Times New Roman"/>
          <w:noProof/>
          <w:sz w:val="20"/>
          <w:szCs w:val="20"/>
          <w:lang w:eastAsia="hr-HR"/>
        </w:rPr>
        <w:t>kut u koljenu.</w:t>
      </w:r>
    </w:p>
    <w:p w:rsidR="00542F29" w:rsidRPr="006F5C78" w:rsidRDefault="00EE581E" w:rsidP="00EE581E">
      <w:pPr>
        <w:jc w:val="both"/>
        <w:rPr>
          <w:rFonts w:ascii="Times New Roman" w:hAnsi="Times New Roman" w:cs="Times New Roman"/>
          <w:sz w:val="24"/>
          <w:szCs w:val="24"/>
        </w:rPr>
      </w:pPr>
      <w:r w:rsidRPr="006F5C78">
        <w:rPr>
          <w:rFonts w:ascii="Times New Roman" w:hAnsi="Times New Roman" w:cs="Times New Roman"/>
          <w:sz w:val="24"/>
          <w:szCs w:val="24"/>
        </w:rPr>
        <w:t>Promatranjem varijable poma</w:t>
      </w:r>
      <w:r w:rsidR="00515DF7" w:rsidRPr="006F5C78">
        <w:rPr>
          <w:rFonts w:ascii="Times New Roman" w:hAnsi="Times New Roman" w:cs="Times New Roman"/>
          <w:sz w:val="24"/>
          <w:szCs w:val="24"/>
        </w:rPr>
        <w:t>k sje</w:t>
      </w:r>
      <w:r w:rsidR="004E6317" w:rsidRPr="006F5C78">
        <w:rPr>
          <w:rFonts w:ascii="Times New Roman" w:hAnsi="Times New Roman" w:cs="Times New Roman"/>
          <w:sz w:val="24"/>
          <w:szCs w:val="24"/>
        </w:rPr>
        <w:t>dala naprijed-nazad kod (slika 3</w:t>
      </w:r>
      <w:r w:rsidRPr="006F5C78">
        <w:rPr>
          <w:rFonts w:ascii="Times New Roman" w:hAnsi="Times New Roman" w:cs="Times New Roman"/>
          <w:sz w:val="24"/>
          <w:szCs w:val="24"/>
        </w:rPr>
        <w:t>.)</w:t>
      </w:r>
      <w:r w:rsidR="00515DF7" w:rsidRPr="006F5C78">
        <w:rPr>
          <w:rFonts w:ascii="Times New Roman" w:hAnsi="Times New Roman" w:cs="Times New Roman"/>
          <w:sz w:val="24"/>
          <w:szCs w:val="24"/>
        </w:rPr>
        <w:t xml:space="preserve"> uočava se </w:t>
      </w:r>
      <w:r w:rsidRPr="006F5C78">
        <w:rPr>
          <w:rFonts w:ascii="Times New Roman" w:hAnsi="Times New Roman" w:cs="Times New Roman"/>
          <w:sz w:val="24"/>
          <w:szCs w:val="24"/>
        </w:rPr>
        <w:t>da 4,2% ispitanika ima ispravno namještenu poziciju sjedala, od</w:t>
      </w:r>
      <w:r w:rsidR="00515DF7" w:rsidRPr="006F5C78">
        <w:rPr>
          <w:rFonts w:ascii="Times New Roman" w:hAnsi="Times New Roman" w:cs="Times New Roman"/>
          <w:sz w:val="24"/>
          <w:szCs w:val="24"/>
        </w:rPr>
        <w:t>nosno 95,8% ispitanika ima loše</w:t>
      </w:r>
      <w:r w:rsidRPr="006F5C78">
        <w:rPr>
          <w:rFonts w:ascii="Times New Roman" w:hAnsi="Times New Roman" w:cs="Times New Roman"/>
          <w:sz w:val="24"/>
          <w:szCs w:val="24"/>
        </w:rPr>
        <w:t xml:space="preserve"> namještenu poziciju sjedala. Kod 62,5% ispitanika sjedalo je trebalo pomaknuti prema nazad kako bi bilo postavljeno u centralnu poziciju. Dok je kod 33,3% ispitanika sjedalo trebalo pomaknuti prema naprijed kako bi bilo postavljeno u centralnu poziciju. </w:t>
      </w:r>
      <w:r w:rsidR="004E6317" w:rsidRPr="006F5C78">
        <w:rPr>
          <w:rFonts w:ascii="Times New Roman" w:hAnsi="Times New Roman" w:cs="Times New Roman"/>
          <w:sz w:val="24"/>
          <w:szCs w:val="24"/>
        </w:rPr>
        <w:t>Prosječna razlika iznosila  je 14,63 milimetra.</w:t>
      </w:r>
    </w:p>
    <w:p w:rsidR="00EE581E" w:rsidRPr="006F5C78" w:rsidRDefault="00515DF7" w:rsidP="00EE581E">
      <w:pPr>
        <w:jc w:val="both"/>
        <w:rPr>
          <w:rFonts w:ascii="Times New Roman" w:hAnsi="Times New Roman" w:cs="Times New Roman"/>
          <w:noProof/>
          <w:sz w:val="24"/>
          <w:szCs w:val="24"/>
          <w:lang w:eastAsia="hr-HR"/>
        </w:rPr>
      </w:pPr>
      <w:r w:rsidRPr="006F5C78">
        <w:rPr>
          <w:noProof/>
          <w:lang w:val="en-US"/>
        </w:rPr>
        <w:drawing>
          <wp:inline distT="0" distB="0" distL="0" distR="0" wp14:anchorId="25D38C96" wp14:editId="3FC52B50">
            <wp:extent cx="5734050" cy="1600200"/>
            <wp:effectExtent l="0" t="0" r="19050" b="19050"/>
            <wp:docPr id="9" name="Grafikon 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5DF7" w:rsidRPr="006F5C78" w:rsidRDefault="004E6317" w:rsidP="001748D6">
      <w:pPr>
        <w:spacing w:line="360" w:lineRule="auto"/>
        <w:jc w:val="both"/>
        <w:rPr>
          <w:rFonts w:ascii="Times New Roman" w:hAnsi="Times New Roman" w:cs="Times New Roman"/>
          <w:sz w:val="20"/>
          <w:szCs w:val="20"/>
        </w:rPr>
      </w:pPr>
      <w:bookmarkStart w:id="2" w:name="_Hlk480915649"/>
      <w:r w:rsidRPr="006F5C78">
        <w:rPr>
          <w:rFonts w:ascii="Times New Roman" w:hAnsi="Times New Roman" w:cs="Times New Roman"/>
          <w:b/>
          <w:sz w:val="20"/>
          <w:szCs w:val="20"/>
        </w:rPr>
        <w:t>Slika 3</w:t>
      </w:r>
      <w:r w:rsidR="00515DF7" w:rsidRPr="006F5C78">
        <w:rPr>
          <w:rFonts w:ascii="Times New Roman" w:hAnsi="Times New Roman" w:cs="Times New Roman"/>
          <w:b/>
          <w:sz w:val="20"/>
          <w:szCs w:val="20"/>
        </w:rPr>
        <w:t>.</w:t>
      </w:r>
      <w:r w:rsidR="00515DF7" w:rsidRPr="006F5C78">
        <w:rPr>
          <w:rFonts w:ascii="Times New Roman" w:hAnsi="Times New Roman" w:cs="Times New Roman"/>
          <w:sz w:val="20"/>
          <w:szCs w:val="20"/>
        </w:rPr>
        <w:t xml:space="preserve"> Inicijalne i finalne vrijednosti za  pomak sjedala naprijed nazad.</w:t>
      </w:r>
    </w:p>
    <w:bookmarkEnd w:id="2"/>
    <w:p w:rsidR="00EE581E" w:rsidRDefault="00515DF7" w:rsidP="001748D6">
      <w:pPr>
        <w:spacing w:line="360" w:lineRule="auto"/>
        <w:jc w:val="both"/>
        <w:rPr>
          <w:rFonts w:ascii="Times New Roman" w:hAnsi="Times New Roman" w:cs="Times New Roman"/>
          <w:sz w:val="24"/>
          <w:szCs w:val="24"/>
        </w:rPr>
      </w:pPr>
      <w:r w:rsidRPr="006F5C78">
        <w:rPr>
          <w:rFonts w:ascii="Times New Roman" w:hAnsi="Times New Roman" w:cs="Times New Roman"/>
          <w:sz w:val="24"/>
          <w:szCs w:val="24"/>
        </w:rPr>
        <w:t>Pri promatranju</w:t>
      </w:r>
      <w:r w:rsidR="00EE581E" w:rsidRPr="006F5C78">
        <w:rPr>
          <w:rFonts w:ascii="Times New Roman" w:hAnsi="Times New Roman" w:cs="Times New Roman"/>
          <w:sz w:val="24"/>
          <w:szCs w:val="24"/>
        </w:rPr>
        <w:t xml:space="preserve"> varijable udaljenost sjedala od</w:t>
      </w:r>
      <w:r w:rsidR="00BF0782" w:rsidRPr="006F5C78">
        <w:rPr>
          <w:rFonts w:ascii="Times New Roman" w:hAnsi="Times New Roman" w:cs="Times New Roman"/>
          <w:sz w:val="24"/>
          <w:szCs w:val="24"/>
        </w:rPr>
        <w:t xml:space="preserve"> volana (slika 4</w:t>
      </w:r>
      <w:r w:rsidRPr="006F5C78">
        <w:rPr>
          <w:rFonts w:ascii="Times New Roman" w:hAnsi="Times New Roman" w:cs="Times New Roman"/>
          <w:sz w:val="24"/>
          <w:szCs w:val="24"/>
        </w:rPr>
        <w:t xml:space="preserve">.) uočava se </w:t>
      </w:r>
      <w:r w:rsidR="00EE581E" w:rsidRPr="006F5C78">
        <w:rPr>
          <w:rFonts w:ascii="Times New Roman" w:hAnsi="Times New Roman" w:cs="Times New Roman"/>
          <w:sz w:val="24"/>
          <w:szCs w:val="24"/>
        </w:rPr>
        <w:t xml:space="preserve"> da svega 4,2% ispitanika ima dobro namještenu pozic</w:t>
      </w:r>
      <w:r w:rsidRPr="006F5C78">
        <w:rPr>
          <w:rFonts w:ascii="Times New Roman" w:hAnsi="Times New Roman" w:cs="Times New Roman"/>
          <w:sz w:val="24"/>
          <w:szCs w:val="24"/>
        </w:rPr>
        <w:t xml:space="preserve">iju, odnosno da 95,8% ima loše </w:t>
      </w:r>
      <w:r w:rsidR="00EE581E" w:rsidRPr="006F5C78">
        <w:rPr>
          <w:rFonts w:ascii="Times New Roman" w:hAnsi="Times New Roman" w:cs="Times New Roman"/>
          <w:sz w:val="24"/>
          <w:szCs w:val="24"/>
        </w:rPr>
        <w:t>namještenu poziciju volana te je volan bilo potrebno približiti ili udaljiti od sjedala. Volan je trebalo udaljiti od sjedala kod 66,6% ispitanika iz čega možemo zaključiti da je kod 29,2% ispitanika volan bio previše udaljen od sjedala, odnosno da ga je trebalo približiti sjedalu</w:t>
      </w:r>
      <w:r w:rsidR="00540CD5" w:rsidRPr="006F5C78">
        <w:rPr>
          <w:rFonts w:ascii="Times New Roman" w:hAnsi="Times New Roman" w:cs="Times New Roman"/>
          <w:sz w:val="24"/>
          <w:szCs w:val="24"/>
        </w:rPr>
        <w:t>.</w:t>
      </w:r>
      <w:r w:rsidR="00BF0782" w:rsidRPr="006F5C78">
        <w:rPr>
          <w:rFonts w:ascii="Times New Roman" w:hAnsi="Times New Roman" w:cs="Times New Roman"/>
          <w:sz w:val="24"/>
          <w:szCs w:val="24"/>
        </w:rPr>
        <w:t xml:space="preserve"> Prosječna razlika iznosila  je 17,54 milimetara.</w:t>
      </w:r>
      <w:r w:rsidR="0094185E">
        <w:rPr>
          <w:rFonts w:ascii="Times New Roman" w:hAnsi="Times New Roman" w:cs="Times New Roman"/>
          <w:sz w:val="24"/>
          <w:szCs w:val="24"/>
        </w:rPr>
        <w:t xml:space="preserve"> </w:t>
      </w:r>
      <w:r w:rsidRPr="006F5C78">
        <w:rPr>
          <w:rFonts w:ascii="Times New Roman" w:hAnsi="Times New Roman" w:cs="Times New Roman"/>
          <w:sz w:val="24"/>
          <w:szCs w:val="24"/>
        </w:rPr>
        <w:t>Pri promatranju varijable kut trupa i nadlaktice uočava se  da svega 4,2% ispitanika ima dobro, a  95,8% ima loše namješten kut.  Kut je trebalo povećati kod 66,6% ispitanika iz čega možemo uočiti da je kod 29,2% ispitanika kut trebalo smanjiti</w:t>
      </w:r>
      <w:r w:rsidR="00540CD5" w:rsidRPr="006F5C78">
        <w:rPr>
          <w:rFonts w:ascii="Times New Roman" w:hAnsi="Times New Roman" w:cs="Times New Roman"/>
          <w:sz w:val="24"/>
          <w:szCs w:val="24"/>
        </w:rPr>
        <w:t>.</w:t>
      </w:r>
      <w:r w:rsidR="00097398" w:rsidRPr="006F5C78">
        <w:rPr>
          <w:rFonts w:ascii="Times New Roman" w:hAnsi="Times New Roman" w:cs="Times New Roman"/>
          <w:sz w:val="24"/>
          <w:szCs w:val="24"/>
        </w:rPr>
        <w:t xml:space="preserve"> </w:t>
      </w:r>
      <w:r w:rsidR="00EE581E" w:rsidRPr="006F5C78">
        <w:rPr>
          <w:rFonts w:ascii="Times New Roman" w:hAnsi="Times New Roman" w:cs="Times New Roman"/>
          <w:sz w:val="24"/>
          <w:szCs w:val="24"/>
        </w:rPr>
        <w:t>Varijabla razlika između visine volana i visine sjedala u mil</w:t>
      </w:r>
      <w:r w:rsidRPr="006F5C78">
        <w:rPr>
          <w:rFonts w:ascii="Times New Roman" w:hAnsi="Times New Roman" w:cs="Times New Roman"/>
          <w:sz w:val="24"/>
          <w:szCs w:val="24"/>
        </w:rPr>
        <w:t>im</w:t>
      </w:r>
      <w:r w:rsidR="00097398" w:rsidRPr="006F5C78">
        <w:rPr>
          <w:rFonts w:ascii="Times New Roman" w:hAnsi="Times New Roman" w:cs="Times New Roman"/>
          <w:sz w:val="24"/>
          <w:szCs w:val="24"/>
        </w:rPr>
        <w:t>etrima</w:t>
      </w:r>
      <w:r w:rsidR="00EE581E" w:rsidRPr="006F5C78">
        <w:rPr>
          <w:rFonts w:ascii="Times New Roman" w:hAnsi="Times New Roman" w:cs="Times New Roman"/>
          <w:sz w:val="24"/>
          <w:szCs w:val="24"/>
        </w:rPr>
        <w:t xml:space="preserve"> pokazuje da 4,2% ispitanika ima dobro namještenu poziciju, odnosno da 95,8% ispitanika nema dobro</w:t>
      </w:r>
      <w:r w:rsidR="00EE581E" w:rsidRPr="00EE581E">
        <w:rPr>
          <w:rFonts w:ascii="Times New Roman" w:hAnsi="Times New Roman" w:cs="Times New Roman"/>
          <w:sz w:val="24"/>
          <w:szCs w:val="24"/>
        </w:rPr>
        <w:t xml:space="preserve"> </w:t>
      </w:r>
      <w:r w:rsidR="00EE581E" w:rsidRPr="00EE581E">
        <w:rPr>
          <w:rFonts w:ascii="Times New Roman" w:hAnsi="Times New Roman" w:cs="Times New Roman"/>
          <w:sz w:val="24"/>
          <w:szCs w:val="24"/>
        </w:rPr>
        <w:lastRenderedPageBreak/>
        <w:t>namještenu poziciju te je volan bilo potrebno podizati ili spuštati. Većina ispitanika volan je imala suviše visoko, odnosno kod 58,3% ispitanika volan je trebalo spu</w:t>
      </w:r>
      <w:r>
        <w:rPr>
          <w:rFonts w:ascii="Times New Roman" w:hAnsi="Times New Roman" w:cs="Times New Roman"/>
          <w:sz w:val="24"/>
          <w:szCs w:val="24"/>
        </w:rPr>
        <w:t>stiti. Iz toga možemo uočiti</w:t>
      </w:r>
      <w:r w:rsidR="00EE581E" w:rsidRPr="00EE581E">
        <w:rPr>
          <w:rFonts w:ascii="Times New Roman" w:hAnsi="Times New Roman" w:cs="Times New Roman"/>
          <w:sz w:val="24"/>
          <w:szCs w:val="24"/>
        </w:rPr>
        <w:t xml:space="preserve"> da je kod 37,5% ispitanika volan trebalo podići. Također iz promatranog možemo zaključiti da u finalnoj poziciji 12,5% isp</w:t>
      </w:r>
      <w:r>
        <w:rPr>
          <w:rFonts w:ascii="Times New Roman" w:hAnsi="Times New Roman" w:cs="Times New Roman"/>
          <w:sz w:val="24"/>
          <w:szCs w:val="24"/>
        </w:rPr>
        <w:t>itanika ima poziciju volana viš</w:t>
      </w:r>
      <w:r w:rsidR="00EE581E" w:rsidRPr="00EE581E">
        <w:rPr>
          <w:rFonts w:ascii="Times New Roman" w:hAnsi="Times New Roman" w:cs="Times New Roman"/>
          <w:sz w:val="24"/>
          <w:szCs w:val="24"/>
        </w:rPr>
        <w:t>u od visine sjedala, 4,2% ispitnika imaju volan u visini sjedala te 83,3% ispitanika ima volan niži od visine sjedala</w:t>
      </w:r>
      <w:r w:rsidR="00540CD5">
        <w:rPr>
          <w:rFonts w:ascii="Times New Roman" w:hAnsi="Times New Roman" w:cs="Times New Roman"/>
          <w:sz w:val="24"/>
          <w:szCs w:val="24"/>
        </w:rPr>
        <w:t>.</w:t>
      </w:r>
      <w:r w:rsidR="00921F5C" w:rsidRPr="00921F5C">
        <w:rPr>
          <w:rFonts w:ascii="Times New Roman" w:hAnsi="Times New Roman" w:cs="Times New Roman"/>
          <w:sz w:val="24"/>
          <w:szCs w:val="24"/>
        </w:rPr>
        <w:t xml:space="preserve"> </w:t>
      </w:r>
      <w:r w:rsidR="00921F5C">
        <w:rPr>
          <w:rFonts w:ascii="Times New Roman" w:hAnsi="Times New Roman" w:cs="Times New Roman"/>
          <w:sz w:val="24"/>
          <w:szCs w:val="24"/>
        </w:rPr>
        <w:t>P</w:t>
      </w:r>
      <w:r w:rsidR="00921F5C" w:rsidRPr="00515DF7">
        <w:rPr>
          <w:rFonts w:ascii="Times New Roman" w:hAnsi="Times New Roman" w:cs="Times New Roman"/>
          <w:sz w:val="24"/>
          <w:szCs w:val="24"/>
        </w:rPr>
        <w:t>rosječn</w:t>
      </w:r>
      <w:r w:rsidR="00921F5C">
        <w:rPr>
          <w:rFonts w:ascii="Times New Roman" w:hAnsi="Times New Roman" w:cs="Times New Roman"/>
          <w:sz w:val="24"/>
          <w:szCs w:val="24"/>
        </w:rPr>
        <w:t>u</w:t>
      </w:r>
      <w:r w:rsidR="00921F5C" w:rsidRPr="00515DF7">
        <w:rPr>
          <w:rFonts w:ascii="Times New Roman" w:hAnsi="Times New Roman" w:cs="Times New Roman"/>
          <w:sz w:val="24"/>
          <w:szCs w:val="24"/>
        </w:rPr>
        <w:t xml:space="preserve"> promjen</w:t>
      </w:r>
      <w:r w:rsidR="00921F5C">
        <w:rPr>
          <w:rFonts w:ascii="Times New Roman" w:hAnsi="Times New Roman" w:cs="Times New Roman"/>
          <w:sz w:val="24"/>
          <w:szCs w:val="24"/>
        </w:rPr>
        <w:t>u</w:t>
      </w:r>
      <w:r w:rsidR="00921F5C" w:rsidRPr="00515DF7">
        <w:rPr>
          <w:rFonts w:ascii="Times New Roman" w:hAnsi="Times New Roman" w:cs="Times New Roman"/>
          <w:sz w:val="24"/>
          <w:szCs w:val="24"/>
        </w:rPr>
        <w:t xml:space="preserve"> </w:t>
      </w:r>
      <w:r w:rsidR="00921F5C">
        <w:rPr>
          <w:rFonts w:ascii="Times New Roman" w:hAnsi="Times New Roman" w:cs="Times New Roman"/>
          <w:sz w:val="24"/>
          <w:szCs w:val="24"/>
        </w:rPr>
        <w:t>ove varijable koja iznosi 20,08 milimetara</w:t>
      </w:r>
    </w:p>
    <w:p w:rsidR="00EE581E" w:rsidRDefault="002A0A9E" w:rsidP="001748D6">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15DF7">
        <w:rPr>
          <w:rFonts w:ascii="Times New Roman" w:hAnsi="Times New Roman" w:cs="Times New Roman"/>
          <w:sz w:val="24"/>
          <w:szCs w:val="24"/>
        </w:rPr>
        <w:t xml:space="preserve">očavanju razlike između inicijalnog i finalnog testiranja odnosno važnosti ergonomskih analiza proveden je t- test za testiranje postavljene hipoteze. Rezultati provedenog t-testa za zavisne varijable prikazani su u tablici </w:t>
      </w:r>
      <w:r w:rsidR="00542F29">
        <w:rPr>
          <w:rFonts w:ascii="Times New Roman" w:hAnsi="Times New Roman" w:cs="Times New Roman"/>
          <w:sz w:val="24"/>
          <w:szCs w:val="24"/>
        </w:rPr>
        <w:t>1.</w:t>
      </w:r>
    </w:p>
    <w:p w:rsidR="00515DF7" w:rsidRPr="003E504B" w:rsidRDefault="00515DF7" w:rsidP="001748D6">
      <w:pPr>
        <w:spacing w:line="360" w:lineRule="auto"/>
        <w:jc w:val="both"/>
        <w:rPr>
          <w:rFonts w:ascii="Times New Roman" w:hAnsi="Times New Roman" w:cs="Times New Roman"/>
          <w:sz w:val="20"/>
          <w:szCs w:val="20"/>
        </w:rPr>
      </w:pPr>
      <w:r w:rsidRPr="003E504B">
        <w:rPr>
          <w:rFonts w:ascii="Times New Roman" w:hAnsi="Times New Roman" w:cs="Times New Roman"/>
          <w:b/>
          <w:sz w:val="20"/>
          <w:szCs w:val="20"/>
        </w:rPr>
        <w:t>Tablica 1.</w:t>
      </w:r>
      <w:r w:rsidRPr="003E504B">
        <w:rPr>
          <w:rFonts w:ascii="Times New Roman" w:hAnsi="Times New Roman" w:cs="Times New Roman"/>
          <w:sz w:val="20"/>
          <w:szCs w:val="20"/>
        </w:rPr>
        <w:t xml:space="preserve"> </w:t>
      </w:r>
      <w:bookmarkStart w:id="3" w:name="_Hlk480919987"/>
      <w:r w:rsidRPr="003E504B">
        <w:rPr>
          <w:rFonts w:ascii="Times New Roman" w:hAnsi="Times New Roman" w:cs="Times New Roman"/>
          <w:sz w:val="20"/>
          <w:szCs w:val="20"/>
        </w:rPr>
        <w:t>Rezultati provedenog t testa na uzorku prije i nakon provedbe ergonomskih mjerenja po svakoj varijabli za rekreativce</w:t>
      </w:r>
      <w:bookmarkEnd w:id="3"/>
    </w:p>
    <w:tbl>
      <w:tblPr>
        <w:tblStyle w:val="Reetkatablice"/>
        <w:tblW w:w="0" w:type="auto"/>
        <w:tblLook w:val="04A0" w:firstRow="1" w:lastRow="0" w:firstColumn="1" w:lastColumn="0" w:noHBand="0" w:noVBand="1"/>
      </w:tblPr>
      <w:tblGrid>
        <w:gridCol w:w="1392"/>
        <w:gridCol w:w="1182"/>
        <w:gridCol w:w="1430"/>
        <w:gridCol w:w="1167"/>
        <w:gridCol w:w="1260"/>
        <w:gridCol w:w="1025"/>
        <w:gridCol w:w="1648"/>
      </w:tblGrid>
      <w:tr w:rsidR="00111B21" w:rsidTr="00542F29">
        <w:trPr>
          <w:trHeight w:val="531"/>
        </w:trPr>
        <w:tc>
          <w:tcPr>
            <w:tcW w:w="1392" w:type="dxa"/>
          </w:tcPr>
          <w:p w:rsidR="00515DF7" w:rsidRDefault="00515DF7" w:rsidP="00515DF7">
            <w:pPr>
              <w:jc w:val="both"/>
              <w:rPr>
                <w:rFonts w:ascii="Times New Roman" w:hAnsi="Times New Roman" w:cs="Times New Roman"/>
                <w:sz w:val="24"/>
                <w:szCs w:val="24"/>
              </w:rPr>
            </w:pPr>
            <w:bookmarkStart w:id="4" w:name="_Hlk480922157"/>
            <w:r>
              <w:rPr>
                <w:rFonts w:ascii="Times New Roman" w:hAnsi="Times New Roman" w:cs="Times New Roman"/>
                <w:sz w:val="24"/>
                <w:szCs w:val="24"/>
              </w:rPr>
              <w:t>varijabla</w:t>
            </w:r>
          </w:p>
        </w:tc>
        <w:tc>
          <w:tcPr>
            <w:tcW w:w="1182" w:type="dxa"/>
          </w:tcPr>
          <w:p w:rsidR="00515DF7" w:rsidRDefault="00515DF7" w:rsidP="00515DF7">
            <w:pPr>
              <w:jc w:val="both"/>
              <w:rPr>
                <w:rFonts w:ascii="Times New Roman" w:hAnsi="Times New Roman" w:cs="Times New Roman"/>
                <w:sz w:val="24"/>
                <w:szCs w:val="24"/>
              </w:rPr>
            </w:pPr>
            <w:r>
              <w:rPr>
                <w:rFonts w:ascii="Times New Roman" w:hAnsi="Times New Roman" w:cs="Times New Roman"/>
                <w:sz w:val="24"/>
                <w:szCs w:val="24"/>
              </w:rPr>
              <w:t>Srednja vrijednost</w:t>
            </w:r>
          </w:p>
        </w:tc>
        <w:tc>
          <w:tcPr>
            <w:tcW w:w="1430" w:type="dxa"/>
          </w:tcPr>
          <w:p w:rsidR="00515DF7" w:rsidRDefault="00515DF7" w:rsidP="00515DF7">
            <w:pPr>
              <w:jc w:val="both"/>
              <w:rPr>
                <w:rFonts w:ascii="Times New Roman" w:hAnsi="Times New Roman" w:cs="Times New Roman"/>
                <w:sz w:val="24"/>
                <w:szCs w:val="24"/>
              </w:rPr>
            </w:pPr>
            <w:r>
              <w:rPr>
                <w:rFonts w:ascii="Times New Roman" w:hAnsi="Times New Roman" w:cs="Times New Roman"/>
                <w:sz w:val="24"/>
                <w:szCs w:val="24"/>
              </w:rPr>
              <w:t>Standardna devijacija</w:t>
            </w:r>
          </w:p>
        </w:tc>
        <w:tc>
          <w:tcPr>
            <w:tcW w:w="1167" w:type="dxa"/>
          </w:tcPr>
          <w:p w:rsidR="00515DF7" w:rsidRDefault="00515DF7" w:rsidP="00515DF7">
            <w:pPr>
              <w:jc w:val="both"/>
              <w:rPr>
                <w:rFonts w:ascii="Times New Roman" w:hAnsi="Times New Roman" w:cs="Times New Roman"/>
                <w:sz w:val="24"/>
                <w:szCs w:val="24"/>
              </w:rPr>
            </w:pPr>
            <w:r>
              <w:rPr>
                <w:rFonts w:ascii="Times New Roman" w:hAnsi="Times New Roman" w:cs="Times New Roman"/>
                <w:sz w:val="24"/>
                <w:szCs w:val="24"/>
              </w:rPr>
              <w:t>Broj ispitanika</w:t>
            </w:r>
          </w:p>
        </w:tc>
        <w:tc>
          <w:tcPr>
            <w:tcW w:w="1260" w:type="dxa"/>
          </w:tcPr>
          <w:p w:rsidR="00515DF7" w:rsidRDefault="00515DF7" w:rsidP="00515DF7">
            <w:pPr>
              <w:jc w:val="both"/>
              <w:rPr>
                <w:rFonts w:ascii="Times New Roman" w:hAnsi="Times New Roman" w:cs="Times New Roman"/>
                <w:sz w:val="24"/>
                <w:szCs w:val="24"/>
              </w:rPr>
            </w:pPr>
            <w:r>
              <w:rPr>
                <w:rFonts w:ascii="Times New Roman" w:hAnsi="Times New Roman" w:cs="Times New Roman"/>
                <w:sz w:val="24"/>
                <w:szCs w:val="24"/>
              </w:rPr>
              <w:t>t-test</w:t>
            </w:r>
          </w:p>
        </w:tc>
        <w:tc>
          <w:tcPr>
            <w:tcW w:w="1025" w:type="dxa"/>
          </w:tcPr>
          <w:p w:rsidR="00515DF7" w:rsidRDefault="00515DF7" w:rsidP="00515DF7">
            <w:pPr>
              <w:jc w:val="both"/>
              <w:rPr>
                <w:rFonts w:ascii="Times New Roman" w:hAnsi="Times New Roman" w:cs="Times New Roman"/>
                <w:sz w:val="24"/>
                <w:szCs w:val="24"/>
              </w:rPr>
            </w:pPr>
            <w:r>
              <w:rPr>
                <w:rFonts w:ascii="Times New Roman" w:hAnsi="Times New Roman" w:cs="Times New Roman"/>
                <w:sz w:val="24"/>
                <w:szCs w:val="24"/>
              </w:rPr>
              <w:t>Stupanj slobode</w:t>
            </w:r>
          </w:p>
        </w:tc>
        <w:tc>
          <w:tcPr>
            <w:tcW w:w="1648" w:type="dxa"/>
          </w:tcPr>
          <w:p w:rsidR="00515DF7" w:rsidRDefault="00515DF7" w:rsidP="00515DF7">
            <w:pPr>
              <w:jc w:val="both"/>
              <w:rPr>
                <w:rFonts w:ascii="Times New Roman" w:hAnsi="Times New Roman" w:cs="Times New Roman"/>
                <w:sz w:val="24"/>
                <w:szCs w:val="24"/>
              </w:rPr>
            </w:pPr>
            <w:r>
              <w:rPr>
                <w:rFonts w:ascii="Times New Roman" w:hAnsi="Times New Roman" w:cs="Times New Roman"/>
                <w:sz w:val="24"/>
                <w:szCs w:val="24"/>
              </w:rPr>
              <w:t xml:space="preserve">Razina značajnosti </w:t>
            </w:r>
          </w:p>
        </w:tc>
      </w:tr>
      <w:bookmarkEnd w:id="4"/>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VS</w:t>
            </w:r>
            <w:r w:rsidR="006F5C78">
              <w:rPr>
                <w:rFonts w:ascii="Arial" w:eastAsia="Times New Roman" w:hAnsi="Arial" w:cs="Arial"/>
                <w:color w:val="FF0000"/>
                <w:sz w:val="20"/>
                <w:szCs w:val="20"/>
                <w:lang w:eastAsia="hr-HR"/>
              </w:rPr>
              <w:t>_</w:t>
            </w:r>
            <w:r>
              <w:rPr>
                <w:rFonts w:ascii="Arial" w:eastAsia="Times New Roman" w:hAnsi="Arial" w:cs="Arial"/>
                <w:color w:val="FF0000"/>
                <w:sz w:val="20"/>
                <w:szCs w:val="20"/>
                <w:lang w:eastAsia="hr-HR"/>
              </w:rPr>
              <w:t>I</w:t>
            </w:r>
          </w:p>
        </w:tc>
        <w:tc>
          <w:tcPr>
            <w:tcW w:w="1182"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752,7917</w:t>
            </w:r>
          </w:p>
        </w:tc>
        <w:tc>
          <w:tcPr>
            <w:tcW w:w="1430"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56,15582</w:t>
            </w:r>
          </w:p>
        </w:tc>
        <w:tc>
          <w:tcPr>
            <w:tcW w:w="1167"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24</w:t>
            </w:r>
          </w:p>
        </w:tc>
        <w:tc>
          <w:tcPr>
            <w:tcW w:w="1260" w:type="dxa"/>
            <w:vAlign w:val="center"/>
          </w:tcPr>
          <w:p w:rsidR="00111B21" w:rsidRDefault="00111B21" w:rsidP="00111B21"/>
        </w:tc>
        <w:tc>
          <w:tcPr>
            <w:tcW w:w="1025" w:type="dxa"/>
            <w:vAlign w:val="center"/>
          </w:tcPr>
          <w:p w:rsidR="00111B21" w:rsidRDefault="00111B21" w:rsidP="00111B21"/>
        </w:tc>
        <w:tc>
          <w:tcPr>
            <w:tcW w:w="1648" w:type="dxa"/>
            <w:vAlign w:val="center"/>
          </w:tcPr>
          <w:p w:rsidR="00111B21" w:rsidRDefault="00111B21" w:rsidP="00111B21"/>
        </w:tc>
      </w:tr>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VS</w:t>
            </w:r>
            <w:r w:rsidR="006F5C78">
              <w:rPr>
                <w:rFonts w:ascii="Arial" w:eastAsia="Times New Roman" w:hAnsi="Arial" w:cs="Arial"/>
                <w:color w:val="FF0000"/>
                <w:sz w:val="20"/>
                <w:szCs w:val="20"/>
                <w:lang w:eastAsia="hr-HR"/>
              </w:rPr>
              <w:t>_</w:t>
            </w:r>
            <w:r>
              <w:rPr>
                <w:rFonts w:ascii="Arial" w:eastAsia="Times New Roman" w:hAnsi="Arial" w:cs="Arial"/>
                <w:color w:val="FF0000"/>
                <w:sz w:val="20"/>
                <w:szCs w:val="20"/>
                <w:lang w:eastAsia="hr-HR"/>
              </w:rPr>
              <w:t>F</w:t>
            </w:r>
          </w:p>
        </w:tc>
        <w:tc>
          <w:tcPr>
            <w:tcW w:w="1182"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765,1667</w:t>
            </w:r>
          </w:p>
        </w:tc>
        <w:tc>
          <w:tcPr>
            <w:tcW w:w="1430"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56,08043</w:t>
            </w:r>
          </w:p>
        </w:tc>
        <w:tc>
          <w:tcPr>
            <w:tcW w:w="1167"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24</w:t>
            </w:r>
          </w:p>
        </w:tc>
        <w:tc>
          <w:tcPr>
            <w:tcW w:w="1260"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-3,80081</w:t>
            </w:r>
          </w:p>
        </w:tc>
        <w:tc>
          <w:tcPr>
            <w:tcW w:w="1025"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23</w:t>
            </w:r>
          </w:p>
        </w:tc>
        <w:tc>
          <w:tcPr>
            <w:tcW w:w="1648"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0,000921</w:t>
            </w:r>
          </w:p>
        </w:tc>
      </w:tr>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KK</w:t>
            </w:r>
            <w:r w:rsidR="006F5C78">
              <w:rPr>
                <w:rFonts w:ascii="Arial" w:eastAsia="Times New Roman" w:hAnsi="Arial" w:cs="Arial"/>
                <w:color w:val="FF0000"/>
                <w:sz w:val="20"/>
                <w:szCs w:val="20"/>
                <w:lang w:eastAsia="hr-HR"/>
              </w:rPr>
              <w:t>_</w:t>
            </w:r>
            <w:r>
              <w:rPr>
                <w:rFonts w:ascii="Arial" w:eastAsia="Times New Roman" w:hAnsi="Arial" w:cs="Arial"/>
                <w:color w:val="FF0000"/>
                <w:sz w:val="20"/>
                <w:szCs w:val="20"/>
                <w:lang w:eastAsia="hr-HR"/>
              </w:rPr>
              <w:t>I</w:t>
            </w:r>
          </w:p>
        </w:tc>
        <w:tc>
          <w:tcPr>
            <w:tcW w:w="1182"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37,08333</w:t>
            </w:r>
          </w:p>
        </w:tc>
        <w:tc>
          <w:tcPr>
            <w:tcW w:w="1430"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7,884584</w:t>
            </w:r>
          </w:p>
        </w:tc>
        <w:tc>
          <w:tcPr>
            <w:tcW w:w="1167"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24</w:t>
            </w:r>
          </w:p>
        </w:tc>
        <w:tc>
          <w:tcPr>
            <w:tcW w:w="1260" w:type="dxa"/>
            <w:vAlign w:val="center"/>
          </w:tcPr>
          <w:p w:rsidR="00111B21" w:rsidRDefault="00111B21" w:rsidP="00111B21"/>
        </w:tc>
        <w:tc>
          <w:tcPr>
            <w:tcW w:w="1025" w:type="dxa"/>
            <w:vAlign w:val="center"/>
          </w:tcPr>
          <w:p w:rsidR="00111B21" w:rsidRDefault="00111B21" w:rsidP="00111B21"/>
        </w:tc>
        <w:tc>
          <w:tcPr>
            <w:tcW w:w="1648" w:type="dxa"/>
            <w:vAlign w:val="center"/>
          </w:tcPr>
          <w:p w:rsidR="00111B21" w:rsidRDefault="00111B21" w:rsidP="00111B21"/>
        </w:tc>
      </w:tr>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KK</w:t>
            </w:r>
            <w:r w:rsidR="006F5C78">
              <w:rPr>
                <w:rFonts w:ascii="Arial" w:eastAsia="Times New Roman" w:hAnsi="Arial" w:cs="Arial"/>
                <w:color w:val="FF0000"/>
                <w:sz w:val="20"/>
                <w:szCs w:val="20"/>
                <w:lang w:eastAsia="hr-HR"/>
              </w:rPr>
              <w:t>_</w:t>
            </w:r>
            <w:r w:rsidR="00111B21" w:rsidRPr="00515DF7">
              <w:rPr>
                <w:rFonts w:ascii="Arial" w:eastAsia="Times New Roman" w:hAnsi="Arial" w:cs="Arial"/>
                <w:color w:val="FF0000"/>
                <w:sz w:val="20"/>
                <w:szCs w:val="20"/>
                <w:lang w:eastAsia="hr-HR"/>
              </w:rPr>
              <w:t>F</w:t>
            </w:r>
          </w:p>
        </w:tc>
        <w:tc>
          <w:tcPr>
            <w:tcW w:w="1182"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30,00000</w:t>
            </w:r>
          </w:p>
        </w:tc>
        <w:tc>
          <w:tcPr>
            <w:tcW w:w="1430"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0,000000</w:t>
            </w:r>
          </w:p>
        </w:tc>
        <w:tc>
          <w:tcPr>
            <w:tcW w:w="1167"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24</w:t>
            </w:r>
          </w:p>
        </w:tc>
        <w:tc>
          <w:tcPr>
            <w:tcW w:w="1260"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4,401133</w:t>
            </w:r>
          </w:p>
        </w:tc>
        <w:tc>
          <w:tcPr>
            <w:tcW w:w="1025"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23</w:t>
            </w:r>
          </w:p>
        </w:tc>
        <w:tc>
          <w:tcPr>
            <w:tcW w:w="1648"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0,000207</w:t>
            </w:r>
          </w:p>
        </w:tc>
      </w:tr>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PSNN</w:t>
            </w:r>
            <w:r w:rsidR="006F5C78">
              <w:rPr>
                <w:rFonts w:ascii="Arial" w:eastAsia="Times New Roman" w:hAnsi="Arial" w:cs="Arial"/>
                <w:color w:val="000000"/>
                <w:sz w:val="20"/>
                <w:szCs w:val="20"/>
                <w:lang w:eastAsia="hr-HR"/>
              </w:rPr>
              <w:t>_</w:t>
            </w:r>
            <w:r>
              <w:rPr>
                <w:rFonts w:ascii="Arial" w:eastAsia="Times New Roman" w:hAnsi="Arial" w:cs="Arial"/>
                <w:color w:val="000000"/>
                <w:sz w:val="20"/>
                <w:szCs w:val="20"/>
                <w:lang w:eastAsia="hr-HR"/>
              </w:rPr>
              <w:t>I</w:t>
            </w:r>
          </w:p>
        </w:tc>
        <w:tc>
          <w:tcPr>
            <w:tcW w:w="1182"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-70,7500</w:t>
            </w:r>
          </w:p>
        </w:tc>
        <w:tc>
          <w:tcPr>
            <w:tcW w:w="1430"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26,94318</w:t>
            </w:r>
          </w:p>
        </w:tc>
        <w:tc>
          <w:tcPr>
            <w:tcW w:w="1167" w:type="dxa"/>
            <w:vAlign w:val="center"/>
          </w:tcPr>
          <w:p w:rsidR="00111B21" w:rsidRDefault="00111B21" w:rsidP="00111B21">
            <w:pPr>
              <w:jc w:val="right"/>
              <w:rPr>
                <w:rFonts w:ascii="Arial" w:hAnsi="Arial" w:cs="Arial"/>
                <w:color w:val="FF0000"/>
                <w:sz w:val="20"/>
                <w:szCs w:val="20"/>
              </w:rPr>
            </w:pPr>
            <w:r w:rsidRPr="00515DF7">
              <w:rPr>
                <w:rFonts w:ascii="Arial" w:hAnsi="Arial" w:cs="Arial"/>
                <w:color w:val="000000" w:themeColor="text1"/>
                <w:sz w:val="20"/>
                <w:szCs w:val="20"/>
              </w:rPr>
              <w:t>24</w:t>
            </w:r>
          </w:p>
        </w:tc>
        <w:tc>
          <w:tcPr>
            <w:tcW w:w="1260" w:type="dxa"/>
            <w:vAlign w:val="center"/>
          </w:tcPr>
          <w:p w:rsidR="00111B21" w:rsidRDefault="00111B21" w:rsidP="00111B21"/>
        </w:tc>
        <w:tc>
          <w:tcPr>
            <w:tcW w:w="1025" w:type="dxa"/>
            <w:vAlign w:val="center"/>
          </w:tcPr>
          <w:p w:rsidR="00111B21" w:rsidRDefault="00111B21" w:rsidP="00111B21"/>
        </w:tc>
        <w:tc>
          <w:tcPr>
            <w:tcW w:w="1648" w:type="dxa"/>
            <w:vAlign w:val="center"/>
          </w:tcPr>
          <w:p w:rsidR="00111B21" w:rsidRDefault="00111B21" w:rsidP="00111B21"/>
        </w:tc>
      </w:tr>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PSNN</w:t>
            </w:r>
            <w:r w:rsidR="006F5C78">
              <w:rPr>
                <w:rFonts w:ascii="Arial" w:eastAsia="Times New Roman" w:hAnsi="Arial" w:cs="Arial"/>
                <w:color w:val="000000"/>
                <w:sz w:val="20"/>
                <w:szCs w:val="20"/>
                <w:lang w:eastAsia="hr-HR"/>
              </w:rPr>
              <w:t>_</w:t>
            </w:r>
            <w:r w:rsidR="00111B21" w:rsidRPr="00515DF7">
              <w:rPr>
                <w:rFonts w:ascii="Arial" w:eastAsia="Times New Roman" w:hAnsi="Arial" w:cs="Arial"/>
                <w:color w:val="000000"/>
                <w:sz w:val="20"/>
                <w:szCs w:val="20"/>
                <w:lang w:eastAsia="hr-HR"/>
              </w:rPr>
              <w:t>F</w:t>
            </w:r>
          </w:p>
        </w:tc>
        <w:tc>
          <w:tcPr>
            <w:tcW w:w="1182"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-74,6250</w:t>
            </w:r>
          </w:p>
        </w:tc>
        <w:tc>
          <w:tcPr>
            <w:tcW w:w="1430"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26,72535</w:t>
            </w:r>
          </w:p>
        </w:tc>
        <w:tc>
          <w:tcPr>
            <w:tcW w:w="1167" w:type="dxa"/>
            <w:vAlign w:val="center"/>
          </w:tcPr>
          <w:p w:rsidR="00111B21" w:rsidRDefault="00111B21" w:rsidP="00111B21">
            <w:pPr>
              <w:jc w:val="right"/>
              <w:rPr>
                <w:rFonts w:ascii="Arial" w:hAnsi="Arial" w:cs="Arial"/>
                <w:color w:val="FF0000"/>
                <w:sz w:val="20"/>
                <w:szCs w:val="20"/>
              </w:rPr>
            </w:pPr>
            <w:r w:rsidRPr="00515DF7">
              <w:rPr>
                <w:rFonts w:ascii="Arial" w:hAnsi="Arial" w:cs="Arial"/>
                <w:color w:val="000000" w:themeColor="text1"/>
                <w:sz w:val="20"/>
                <w:szCs w:val="20"/>
              </w:rPr>
              <w:t>24</w:t>
            </w:r>
          </w:p>
        </w:tc>
        <w:tc>
          <w:tcPr>
            <w:tcW w:w="1260" w:type="dxa"/>
            <w:vAlign w:val="center"/>
          </w:tcPr>
          <w:p w:rsidR="00111B21" w:rsidRDefault="00111B21" w:rsidP="00111B21">
            <w:pPr>
              <w:jc w:val="right"/>
              <w:rPr>
                <w:rFonts w:ascii="Arial" w:hAnsi="Arial" w:cs="Arial"/>
                <w:color w:val="000000"/>
                <w:sz w:val="20"/>
                <w:szCs w:val="20"/>
              </w:rPr>
            </w:pPr>
            <w:r>
              <w:rPr>
                <w:rFonts w:ascii="Arial" w:hAnsi="Arial" w:cs="Arial"/>
                <w:color w:val="000000"/>
                <w:sz w:val="20"/>
                <w:szCs w:val="20"/>
              </w:rPr>
              <w:t>1,131621</w:t>
            </w:r>
          </w:p>
        </w:tc>
        <w:tc>
          <w:tcPr>
            <w:tcW w:w="1025" w:type="dxa"/>
            <w:vAlign w:val="center"/>
          </w:tcPr>
          <w:p w:rsidR="00111B21" w:rsidRDefault="00111B21" w:rsidP="00111B21">
            <w:pPr>
              <w:jc w:val="right"/>
              <w:rPr>
                <w:rFonts w:ascii="Arial" w:hAnsi="Arial" w:cs="Arial"/>
                <w:color w:val="000000"/>
                <w:sz w:val="20"/>
                <w:szCs w:val="20"/>
              </w:rPr>
            </w:pPr>
            <w:r>
              <w:rPr>
                <w:rFonts w:ascii="Arial" w:hAnsi="Arial" w:cs="Arial"/>
                <w:color w:val="000000"/>
                <w:sz w:val="20"/>
                <w:szCs w:val="20"/>
              </w:rPr>
              <w:t>23</w:t>
            </w:r>
          </w:p>
        </w:tc>
        <w:tc>
          <w:tcPr>
            <w:tcW w:w="1648" w:type="dxa"/>
            <w:vAlign w:val="center"/>
          </w:tcPr>
          <w:p w:rsidR="00111B21" w:rsidRDefault="00111B21" w:rsidP="00111B21">
            <w:pPr>
              <w:jc w:val="right"/>
              <w:rPr>
                <w:rFonts w:ascii="Arial" w:hAnsi="Arial" w:cs="Arial"/>
                <w:color w:val="000000"/>
                <w:sz w:val="20"/>
                <w:szCs w:val="20"/>
              </w:rPr>
            </w:pPr>
            <w:r>
              <w:rPr>
                <w:rFonts w:ascii="Arial" w:hAnsi="Arial" w:cs="Arial"/>
                <w:color w:val="000000"/>
                <w:sz w:val="20"/>
                <w:szCs w:val="20"/>
              </w:rPr>
              <w:t>0,269455</w:t>
            </w:r>
          </w:p>
        </w:tc>
      </w:tr>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USV</w:t>
            </w:r>
            <w:r w:rsidR="006F5C78">
              <w:rPr>
                <w:rFonts w:ascii="Arial" w:eastAsia="Times New Roman" w:hAnsi="Arial" w:cs="Arial"/>
                <w:color w:val="FF0000"/>
                <w:sz w:val="20"/>
                <w:szCs w:val="20"/>
                <w:lang w:eastAsia="hr-HR"/>
              </w:rPr>
              <w:t>_</w:t>
            </w:r>
            <w:r w:rsidR="00111B21" w:rsidRPr="00515DF7">
              <w:rPr>
                <w:rFonts w:ascii="Arial" w:eastAsia="Times New Roman" w:hAnsi="Arial" w:cs="Arial"/>
                <w:color w:val="FF0000"/>
                <w:sz w:val="20"/>
                <w:szCs w:val="20"/>
                <w:lang w:eastAsia="hr-HR"/>
              </w:rPr>
              <w:t>I</w:t>
            </w:r>
          </w:p>
        </w:tc>
        <w:tc>
          <w:tcPr>
            <w:tcW w:w="1182"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557,5417</w:t>
            </w:r>
          </w:p>
        </w:tc>
        <w:tc>
          <w:tcPr>
            <w:tcW w:w="1430"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43,48311</w:t>
            </w:r>
          </w:p>
        </w:tc>
        <w:tc>
          <w:tcPr>
            <w:tcW w:w="1167"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24</w:t>
            </w:r>
          </w:p>
        </w:tc>
        <w:tc>
          <w:tcPr>
            <w:tcW w:w="1260" w:type="dxa"/>
            <w:vAlign w:val="center"/>
          </w:tcPr>
          <w:p w:rsidR="00111B21" w:rsidRDefault="00111B21" w:rsidP="00111B21"/>
        </w:tc>
        <w:tc>
          <w:tcPr>
            <w:tcW w:w="1025" w:type="dxa"/>
            <w:vAlign w:val="center"/>
          </w:tcPr>
          <w:p w:rsidR="00111B21" w:rsidRDefault="00111B21" w:rsidP="00111B21"/>
        </w:tc>
        <w:tc>
          <w:tcPr>
            <w:tcW w:w="1648" w:type="dxa"/>
            <w:vAlign w:val="center"/>
          </w:tcPr>
          <w:p w:rsidR="00111B21" w:rsidRDefault="00111B21" w:rsidP="00111B21"/>
        </w:tc>
      </w:tr>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USV</w:t>
            </w:r>
            <w:r w:rsidR="006F5C78">
              <w:rPr>
                <w:rFonts w:ascii="Arial" w:eastAsia="Times New Roman" w:hAnsi="Arial" w:cs="Arial"/>
                <w:color w:val="FF0000"/>
                <w:sz w:val="20"/>
                <w:szCs w:val="20"/>
                <w:lang w:eastAsia="hr-HR"/>
              </w:rPr>
              <w:t>_</w:t>
            </w:r>
            <w:r w:rsidR="00111B21" w:rsidRPr="00515DF7">
              <w:rPr>
                <w:rFonts w:ascii="Arial" w:eastAsia="Times New Roman" w:hAnsi="Arial" w:cs="Arial"/>
                <w:color w:val="FF0000"/>
                <w:sz w:val="20"/>
                <w:szCs w:val="20"/>
                <w:lang w:eastAsia="hr-HR"/>
              </w:rPr>
              <w:t>F</w:t>
            </w:r>
          </w:p>
        </w:tc>
        <w:tc>
          <w:tcPr>
            <w:tcW w:w="1182"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566,7500</w:t>
            </w:r>
          </w:p>
        </w:tc>
        <w:tc>
          <w:tcPr>
            <w:tcW w:w="1430" w:type="dxa"/>
            <w:noWrap/>
            <w:hideMark/>
          </w:tcPr>
          <w:p w:rsidR="00111B21" w:rsidRPr="00515DF7" w:rsidRDefault="00111B21" w:rsidP="00111B21">
            <w:pPr>
              <w:jc w:val="right"/>
              <w:rPr>
                <w:rFonts w:ascii="Arial" w:eastAsia="Times New Roman" w:hAnsi="Arial" w:cs="Arial"/>
                <w:color w:val="FF0000"/>
                <w:sz w:val="20"/>
                <w:szCs w:val="20"/>
                <w:lang w:eastAsia="hr-HR"/>
              </w:rPr>
            </w:pPr>
            <w:r w:rsidRPr="00515DF7">
              <w:rPr>
                <w:rFonts w:ascii="Arial" w:eastAsia="Times New Roman" w:hAnsi="Arial" w:cs="Arial"/>
                <w:color w:val="FF0000"/>
                <w:sz w:val="20"/>
                <w:szCs w:val="20"/>
                <w:lang w:eastAsia="hr-HR"/>
              </w:rPr>
              <w:t>42,69126</w:t>
            </w:r>
          </w:p>
        </w:tc>
        <w:tc>
          <w:tcPr>
            <w:tcW w:w="1167"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24</w:t>
            </w:r>
          </w:p>
        </w:tc>
        <w:tc>
          <w:tcPr>
            <w:tcW w:w="1260"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-2,26968</w:t>
            </w:r>
          </w:p>
        </w:tc>
        <w:tc>
          <w:tcPr>
            <w:tcW w:w="1025"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23</w:t>
            </w:r>
          </w:p>
        </w:tc>
        <w:tc>
          <w:tcPr>
            <w:tcW w:w="1648" w:type="dxa"/>
            <w:vAlign w:val="center"/>
          </w:tcPr>
          <w:p w:rsidR="00111B21" w:rsidRDefault="00111B21" w:rsidP="00111B21">
            <w:pPr>
              <w:jc w:val="right"/>
              <w:rPr>
                <w:rFonts w:ascii="Arial" w:hAnsi="Arial" w:cs="Arial"/>
                <w:color w:val="FF0000"/>
                <w:sz w:val="20"/>
                <w:szCs w:val="20"/>
              </w:rPr>
            </w:pPr>
            <w:r>
              <w:rPr>
                <w:rFonts w:ascii="Arial" w:hAnsi="Arial" w:cs="Arial"/>
                <w:color w:val="FF0000"/>
                <w:sz w:val="20"/>
                <w:szCs w:val="20"/>
              </w:rPr>
              <w:t>0,032915</w:t>
            </w:r>
          </w:p>
        </w:tc>
      </w:tr>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KITN</w:t>
            </w:r>
            <w:r w:rsidR="006F5C78">
              <w:rPr>
                <w:rFonts w:ascii="Arial" w:eastAsia="Times New Roman" w:hAnsi="Arial" w:cs="Arial"/>
                <w:color w:val="000000"/>
                <w:sz w:val="20"/>
                <w:szCs w:val="20"/>
                <w:lang w:eastAsia="hr-HR"/>
              </w:rPr>
              <w:t>_</w:t>
            </w:r>
            <w:r w:rsidR="00111B21" w:rsidRPr="00515DF7">
              <w:rPr>
                <w:rFonts w:ascii="Arial" w:eastAsia="Times New Roman" w:hAnsi="Arial" w:cs="Arial"/>
                <w:color w:val="000000"/>
                <w:sz w:val="20"/>
                <w:szCs w:val="20"/>
                <w:lang w:eastAsia="hr-HR"/>
              </w:rPr>
              <w:t>I</w:t>
            </w:r>
          </w:p>
        </w:tc>
        <w:tc>
          <w:tcPr>
            <w:tcW w:w="1182"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85,87500</w:t>
            </w:r>
          </w:p>
        </w:tc>
        <w:tc>
          <w:tcPr>
            <w:tcW w:w="1430"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10,64164</w:t>
            </w:r>
          </w:p>
        </w:tc>
        <w:tc>
          <w:tcPr>
            <w:tcW w:w="1167" w:type="dxa"/>
            <w:vAlign w:val="center"/>
          </w:tcPr>
          <w:p w:rsidR="00111B21" w:rsidRDefault="00111B21" w:rsidP="00111B21">
            <w:pPr>
              <w:jc w:val="right"/>
              <w:rPr>
                <w:rFonts w:ascii="Arial" w:hAnsi="Arial" w:cs="Arial"/>
                <w:color w:val="FF0000"/>
                <w:sz w:val="20"/>
                <w:szCs w:val="20"/>
              </w:rPr>
            </w:pPr>
            <w:r w:rsidRPr="00515DF7">
              <w:rPr>
                <w:rFonts w:ascii="Arial" w:hAnsi="Arial" w:cs="Arial"/>
                <w:color w:val="000000" w:themeColor="text1"/>
                <w:sz w:val="20"/>
                <w:szCs w:val="20"/>
              </w:rPr>
              <w:t>24</w:t>
            </w:r>
          </w:p>
        </w:tc>
        <w:tc>
          <w:tcPr>
            <w:tcW w:w="1260" w:type="dxa"/>
            <w:vAlign w:val="center"/>
          </w:tcPr>
          <w:p w:rsidR="00111B21" w:rsidRDefault="00111B21" w:rsidP="00111B21"/>
        </w:tc>
        <w:tc>
          <w:tcPr>
            <w:tcW w:w="1025" w:type="dxa"/>
            <w:vAlign w:val="center"/>
          </w:tcPr>
          <w:p w:rsidR="00111B21" w:rsidRDefault="00111B21" w:rsidP="00111B21"/>
        </w:tc>
        <w:tc>
          <w:tcPr>
            <w:tcW w:w="1648" w:type="dxa"/>
            <w:vAlign w:val="center"/>
          </w:tcPr>
          <w:p w:rsidR="00111B21" w:rsidRDefault="00111B21" w:rsidP="00111B21"/>
        </w:tc>
      </w:tr>
      <w:tr w:rsidR="00111B21" w:rsidRPr="00515DF7" w:rsidTr="00542F29">
        <w:trPr>
          <w:trHeight w:val="295"/>
        </w:trPr>
        <w:tc>
          <w:tcPr>
            <w:tcW w:w="1392" w:type="dxa"/>
            <w:noWrap/>
            <w:hideMark/>
          </w:tcPr>
          <w:p w:rsidR="00111B21" w:rsidRPr="00515DF7" w:rsidRDefault="00945A43" w:rsidP="00111B21">
            <w:pP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KITN</w:t>
            </w:r>
            <w:r w:rsidR="006F5C78">
              <w:rPr>
                <w:rFonts w:ascii="Arial" w:eastAsia="Times New Roman" w:hAnsi="Arial" w:cs="Arial"/>
                <w:color w:val="000000"/>
                <w:sz w:val="20"/>
                <w:szCs w:val="20"/>
                <w:lang w:eastAsia="hr-HR"/>
              </w:rPr>
              <w:t>_</w:t>
            </w:r>
            <w:r w:rsidR="00111B21" w:rsidRPr="00515DF7">
              <w:rPr>
                <w:rFonts w:ascii="Arial" w:eastAsia="Times New Roman" w:hAnsi="Arial" w:cs="Arial"/>
                <w:color w:val="000000"/>
                <w:sz w:val="20"/>
                <w:szCs w:val="20"/>
                <w:lang w:eastAsia="hr-HR"/>
              </w:rPr>
              <w:t>F</w:t>
            </w:r>
          </w:p>
        </w:tc>
        <w:tc>
          <w:tcPr>
            <w:tcW w:w="1182"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90,00000</w:t>
            </w:r>
          </w:p>
        </w:tc>
        <w:tc>
          <w:tcPr>
            <w:tcW w:w="1430"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0,00000</w:t>
            </w:r>
          </w:p>
        </w:tc>
        <w:tc>
          <w:tcPr>
            <w:tcW w:w="1167" w:type="dxa"/>
            <w:vAlign w:val="center"/>
          </w:tcPr>
          <w:p w:rsidR="00111B21" w:rsidRDefault="00111B21" w:rsidP="00111B21">
            <w:pPr>
              <w:jc w:val="right"/>
              <w:rPr>
                <w:rFonts w:ascii="Arial" w:hAnsi="Arial" w:cs="Arial"/>
                <w:color w:val="FF0000"/>
                <w:sz w:val="20"/>
                <w:szCs w:val="20"/>
              </w:rPr>
            </w:pPr>
            <w:r w:rsidRPr="00515DF7">
              <w:rPr>
                <w:rFonts w:ascii="Arial" w:hAnsi="Arial" w:cs="Arial"/>
                <w:color w:val="000000" w:themeColor="text1"/>
                <w:sz w:val="20"/>
                <w:szCs w:val="20"/>
              </w:rPr>
              <w:t>24</w:t>
            </w:r>
          </w:p>
        </w:tc>
        <w:tc>
          <w:tcPr>
            <w:tcW w:w="1260" w:type="dxa"/>
            <w:vAlign w:val="center"/>
          </w:tcPr>
          <w:p w:rsidR="00111B21" w:rsidRDefault="00111B21" w:rsidP="00111B21">
            <w:pPr>
              <w:jc w:val="right"/>
              <w:rPr>
                <w:rFonts w:ascii="Arial" w:hAnsi="Arial" w:cs="Arial"/>
                <w:color w:val="000000"/>
                <w:sz w:val="20"/>
                <w:szCs w:val="20"/>
              </w:rPr>
            </w:pPr>
            <w:r>
              <w:rPr>
                <w:rFonts w:ascii="Arial" w:hAnsi="Arial" w:cs="Arial"/>
                <w:color w:val="000000"/>
                <w:sz w:val="20"/>
                <w:szCs w:val="20"/>
              </w:rPr>
              <w:t>-1,89898</w:t>
            </w:r>
          </w:p>
        </w:tc>
        <w:tc>
          <w:tcPr>
            <w:tcW w:w="1025" w:type="dxa"/>
            <w:vAlign w:val="center"/>
          </w:tcPr>
          <w:p w:rsidR="00111B21" w:rsidRDefault="00111B21" w:rsidP="00111B21">
            <w:pPr>
              <w:jc w:val="right"/>
              <w:rPr>
                <w:rFonts w:ascii="Arial" w:hAnsi="Arial" w:cs="Arial"/>
                <w:color w:val="000000"/>
                <w:sz w:val="20"/>
                <w:szCs w:val="20"/>
              </w:rPr>
            </w:pPr>
            <w:r>
              <w:rPr>
                <w:rFonts w:ascii="Arial" w:hAnsi="Arial" w:cs="Arial"/>
                <w:color w:val="000000"/>
                <w:sz w:val="20"/>
                <w:szCs w:val="20"/>
              </w:rPr>
              <w:t>23</w:t>
            </w:r>
          </w:p>
        </w:tc>
        <w:tc>
          <w:tcPr>
            <w:tcW w:w="1648" w:type="dxa"/>
            <w:vAlign w:val="center"/>
          </w:tcPr>
          <w:p w:rsidR="00111B21" w:rsidRDefault="00111B21" w:rsidP="00111B21">
            <w:pPr>
              <w:jc w:val="right"/>
              <w:rPr>
                <w:rFonts w:ascii="Arial" w:hAnsi="Arial" w:cs="Arial"/>
                <w:color w:val="000000"/>
                <w:sz w:val="20"/>
                <w:szCs w:val="20"/>
              </w:rPr>
            </w:pPr>
            <w:r>
              <w:rPr>
                <w:rFonts w:ascii="Arial" w:hAnsi="Arial" w:cs="Arial"/>
                <w:color w:val="000000"/>
                <w:sz w:val="20"/>
                <w:szCs w:val="20"/>
              </w:rPr>
              <w:t>0,070182</w:t>
            </w:r>
          </w:p>
        </w:tc>
      </w:tr>
      <w:tr w:rsidR="00111B21" w:rsidRPr="00515DF7" w:rsidTr="00542F29">
        <w:trPr>
          <w:trHeight w:val="295"/>
        </w:trPr>
        <w:tc>
          <w:tcPr>
            <w:tcW w:w="1392" w:type="dxa"/>
            <w:noWrap/>
            <w:hideMark/>
          </w:tcPr>
          <w:p w:rsidR="00111B21" w:rsidRPr="00515DF7" w:rsidRDefault="006F5C78" w:rsidP="00111B21">
            <w:pP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RVSVV_</w:t>
            </w:r>
            <w:r w:rsidR="00111B21" w:rsidRPr="00515DF7">
              <w:rPr>
                <w:rFonts w:ascii="Arial" w:eastAsia="Times New Roman" w:hAnsi="Arial" w:cs="Arial"/>
                <w:color w:val="000000"/>
                <w:sz w:val="20"/>
                <w:szCs w:val="20"/>
                <w:lang w:eastAsia="hr-HR"/>
              </w:rPr>
              <w:t>I</w:t>
            </w:r>
          </w:p>
        </w:tc>
        <w:tc>
          <w:tcPr>
            <w:tcW w:w="1182"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-27,5417</w:t>
            </w:r>
          </w:p>
        </w:tc>
        <w:tc>
          <w:tcPr>
            <w:tcW w:w="1430"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48,50816</w:t>
            </w:r>
          </w:p>
        </w:tc>
        <w:tc>
          <w:tcPr>
            <w:tcW w:w="1167" w:type="dxa"/>
            <w:vAlign w:val="center"/>
          </w:tcPr>
          <w:p w:rsidR="00111B21" w:rsidRDefault="00111B21" w:rsidP="00111B21">
            <w:pPr>
              <w:jc w:val="right"/>
              <w:rPr>
                <w:rFonts w:ascii="Arial" w:hAnsi="Arial" w:cs="Arial"/>
                <w:color w:val="FF0000"/>
                <w:sz w:val="20"/>
                <w:szCs w:val="20"/>
              </w:rPr>
            </w:pPr>
            <w:r w:rsidRPr="00515DF7">
              <w:rPr>
                <w:rFonts w:ascii="Arial" w:hAnsi="Arial" w:cs="Arial"/>
                <w:color w:val="000000" w:themeColor="text1"/>
                <w:sz w:val="20"/>
                <w:szCs w:val="20"/>
              </w:rPr>
              <w:t>24</w:t>
            </w:r>
          </w:p>
        </w:tc>
        <w:tc>
          <w:tcPr>
            <w:tcW w:w="1260" w:type="dxa"/>
            <w:vAlign w:val="center"/>
          </w:tcPr>
          <w:p w:rsidR="00111B21" w:rsidRDefault="00111B21" w:rsidP="00111B21"/>
        </w:tc>
        <w:tc>
          <w:tcPr>
            <w:tcW w:w="1025" w:type="dxa"/>
            <w:vAlign w:val="center"/>
          </w:tcPr>
          <w:p w:rsidR="00111B21" w:rsidRDefault="00111B21" w:rsidP="00111B21"/>
        </w:tc>
        <w:tc>
          <w:tcPr>
            <w:tcW w:w="1648" w:type="dxa"/>
            <w:vAlign w:val="center"/>
          </w:tcPr>
          <w:p w:rsidR="00111B21" w:rsidRDefault="00111B21" w:rsidP="00111B21"/>
        </w:tc>
      </w:tr>
      <w:tr w:rsidR="00111B21" w:rsidRPr="00515DF7" w:rsidTr="00542F29">
        <w:trPr>
          <w:trHeight w:val="295"/>
        </w:trPr>
        <w:tc>
          <w:tcPr>
            <w:tcW w:w="1392" w:type="dxa"/>
            <w:noWrap/>
            <w:hideMark/>
          </w:tcPr>
          <w:p w:rsidR="00111B21" w:rsidRPr="00515DF7" w:rsidRDefault="006F5C78" w:rsidP="00111B21">
            <w:pP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RVSVV_</w:t>
            </w:r>
            <w:r w:rsidR="00111B21" w:rsidRPr="00515DF7">
              <w:rPr>
                <w:rFonts w:ascii="Arial" w:eastAsia="Times New Roman" w:hAnsi="Arial" w:cs="Arial"/>
                <w:color w:val="000000"/>
                <w:sz w:val="20"/>
                <w:szCs w:val="20"/>
                <w:lang w:eastAsia="hr-HR"/>
              </w:rPr>
              <w:t>F</w:t>
            </w:r>
          </w:p>
        </w:tc>
        <w:tc>
          <w:tcPr>
            <w:tcW w:w="1182"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-35,3750</w:t>
            </w:r>
          </w:p>
        </w:tc>
        <w:tc>
          <w:tcPr>
            <w:tcW w:w="1430" w:type="dxa"/>
            <w:noWrap/>
            <w:hideMark/>
          </w:tcPr>
          <w:p w:rsidR="00111B21" w:rsidRPr="00515DF7" w:rsidRDefault="00111B21" w:rsidP="00111B21">
            <w:pPr>
              <w:jc w:val="right"/>
              <w:rPr>
                <w:rFonts w:ascii="Arial" w:eastAsia="Times New Roman" w:hAnsi="Arial" w:cs="Arial"/>
                <w:color w:val="000000"/>
                <w:sz w:val="20"/>
                <w:szCs w:val="20"/>
                <w:lang w:eastAsia="hr-HR"/>
              </w:rPr>
            </w:pPr>
            <w:r w:rsidRPr="00515DF7">
              <w:rPr>
                <w:rFonts w:ascii="Arial" w:eastAsia="Times New Roman" w:hAnsi="Arial" w:cs="Arial"/>
                <w:color w:val="000000"/>
                <w:sz w:val="20"/>
                <w:szCs w:val="20"/>
                <w:lang w:eastAsia="hr-HR"/>
              </w:rPr>
              <w:t>37,23814</w:t>
            </w:r>
          </w:p>
        </w:tc>
        <w:tc>
          <w:tcPr>
            <w:tcW w:w="1167" w:type="dxa"/>
            <w:vAlign w:val="center"/>
          </w:tcPr>
          <w:p w:rsidR="00111B21" w:rsidRDefault="00111B21" w:rsidP="00111B21">
            <w:pPr>
              <w:jc w:val="right"/>
              <w:rPr>
                <w:rFonts w:ascii="Arial" w:hAnsi="Arial" w:cs="Arial"/>
                <w:color w:val="FF0000"/>
                <w:sz w:val="20"/>
                <w:szCs w:val="20"/>
              </w:rPr>
            </w:pPr>
            <w:r w:rsidRPr="00515DF7">
              <w:rPr>
                <w:rFonts w:ascii="Arial" w:hAnsi="Arial" w:cs="Arial"/>
                <w:color w:val="000000" w:themeColor="text1"/>
                <w:sz w:val="20"/>
                <w:szCs w:val="20"/>
              </w:rPr>
              <w:t>24</w:t>
            </w:r>
          </w:p>
        </w:tc>
        <w:tc>
          <w:tcPr>
            <w:tcW w:w="1260" w:type="dxa"/>
            <w:vAlign w:val="center"/>
          </w:tcPr>
          <w:p w:rsidR="00111B21" w:rsidRDefault="00111B21" w:rsidP="00111B21">
            <w:pPr>
              <w:jc w:val="right"/>
              <w:rPr>
                <w:rFonts w:ascii="Arial" w:hAnsi="Arial" w:cs="Arial"/>
                <w:color w:val="000000"/>
                <w:sz w:val="20"/>
                <w:szCs w:val="20"/>
              </w:rPr>
            </w:pPr>
            <w:r>
              <w:rPr>
                <w:rFonts w:ascii="Arial" w:hAnsi="Arial" w:cs="Arial"/>
                <w:color w:val="000000"/>
                <w:sz w:val="20"/>
                <w:szCs w:val="20"/>
              </w:rPr>
              <w:t>1,548082</w:t>
            </w:r>
          </w:p>
        </w:tc>
        <w:tc>
          <w:tcPr>
            <w:tcW w:w="1025" w:type="dxa"/>
            <w:vAlign w:val="center"/>
          </w:tcPr>
          <w:p w:rsidR="00111B21" w:rsidRDefault="00111B21" w:rsidP="00111B21">
            <w:pPr>
              <w:jc w:val="right"/>
              <w:rPr>
                <w:rFonts w:ascii="Arial" w:hAnsi="Arial" w:cs="Arial"/>
                <w:color w:val="000000"/>
                <w:sz w:val="20"/>
                <w:szCs w:val="20"/>
              </w:rPr>
            </w:pPr>
            <w:r>
              <w:rPr>
                <w:rFonts w:ascii="Arial" w:hAnsi="Arial" w:cs="Arial"/>
                <w:color w:val="000000"/>
                <w:sz w:val="20"/>
                <w:szCs w:val="20"/>
              </w:rPr>
              <w:t>23</w:t>
            </w:r>
          </w:p>
        </w:tc>
        <w:tc>
          <w:tcPr>
            <w:tcW w:w="1648" w:type="dxa"/>
            <w:vAlign w:val="center"/>
          </w:tcPr>
          <w:p w:rsidR="00111B21" w:rsidRDefault="00111B21" w:rsidP="00111B21">
            <w:pPr>
              <w:jc w:val="right"/>
              <w:rPr>
                <w:rFonts w:ascii="Arial" w:hAnsi="Arial" w:cs="Arial"/>
                <w:color w:val="000000"/>
                <w:sz w:val="20"/>
                <w:szCs w:val="20"/>
              </w:rPr>
            </w:pPr>
            <w:r>
              <w:rPr>
                <w:rFonts w:ascii="Arial" w:hAnsi="Arial" w:cs="Arial"/>
                <w:color w:val="000000"/>
                <w:sz w:val="20"/>
                <w:szCs w:val="20"/>
              </w:rPr>
              <w:t>0,135254</w:t>
            </w:r>
          </w:p>
        </w:tc>
      </w:tr>
    </w:tbl>
    <w:p w:rsidR="00542F29" w:rsidRDefault="00542F29" w:rsidP="001748D6">
      <w:pPr>
        <w:spacing w:line="360" w:lineRule="auto"/>
        <w:jc w:val="both"/>
        <w:rPr>
          <w:rFonts w:ascii="Times New Roman" w:hAnsi="Times New Roman" w:cs="Times New Roman"/>
          <w:sz w:val="24"/>
          <w:szCs w:val="24"/>
        </w:rPr>
      </w:pPr>
    </w:p>
    <w:p w:rsidR="00EF03A8" w:rsidRDefault="003D11EB" w:rsidP="001748D6">
      <w:pPr>
        <w:spacing w:line="360" w:lineRule="auto"/>
        <w:jc w:val="both"/>
        <w:rPr>
          <w:rFonts w:ascii="Times New Roman" w:hAnsi="Times New Roman" w:cs="Times New Roman"/>
          <w:b/>
          <w:sz w:val="24"/>
          <w:szCs w:val="24"/>
        </w:rPr>
      </w:pPr>
      <w:r>
        <w:rPr>
          <w:rFonts w:ascii="Times New Roman" w:hAnsi="Times New Roman" w:cs="Times New Roman"/>
          <w:b/>
          <w:sz w:val="24"/>
          <w:szCs w:val="24"/>
        </w:rPr>
        <w:t>5. Zaključak</w:t>
      </w:r>
    </w:p>
    <w:p w:rsidR="006B7DEE" w:rsidRDefault="006B7DEE" w:rsidP="00D100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 provedenih ergonomskih mjerenja i statističke analize rezultata može se zaključiti </w:t>
      </w:r>
      <w:r w:rsidR="00542F29">
        <w:rPr>
          <w:rFonts w:ascii="Times New Roman" w:hAnsi="Times New Roman" w:cs="Times New Roman"/>
          <w:sz w:val="24"/>
          <w:szCs w:val="24"/>
        </w:rPr>
        <w:t xml:space="preserve">da </w:t>
      </w:r>
      <w:r w:rsidRPr="002A0A9E">
        <w:rPr>
          <w:rFonts w:ascii="Times New Roman" w:hAnsi="Times New Roman" w:cs="Times New Roman"/>
          <w:b/>
          <w:i/>
          <w:sz w:val="24"/>
          <w:szCs w:val="24"/>
        </w:rPr>
        <w:t xml:space="preserve">95,8% rekreativaca ima loše namještenu poziciju </w:t>
      </w:r>
      <w:r w:rsidRPr="00542F29">
        <w:rPr>
          <w:rFonts w:ascii="Times New Roman" w:hAnsi="Times New Roman" w:cs="Times New Roman"/>
          <w:sz w:val="24"/>
          <w:szCs w:val="24"/>
        </w:rPr>
        <w:t xml:space="preserve">sjedala koja je uočena iz vrijednosti inicijalne i finalne varijable  pomak sjedala naprijed nazad. Statistički značajne razlike </w:t>
      </w:r>
      <w:r w:rsidR="006F5C78">
        <w:rPr>
          <w:rFonts w:ascii="Times New Roman" w:hAnsi="Times New Roman" w:cs="Times New Roman"/>
          <w:sz w:val="24"/>
          <w:szCs w:val="24"/>
        </w:rPr>
        <w:t xml:space="preserve">(p&lt;0,05) </w:t>
      </w:r>
      <w:r w:rsidRPr="00542F29">
        <w:rPr>
          <w:rFonts w:ascii="Times New Roman" w:hAnsi="Times New Roman" w:cs="Times New Roman"/>
          <w:sz w:val="24"/>
          <w:szCs w:val="24"/>
        </w:rPr>
        <w:t xml:space="preserve">između inicijalnih i finalnih vrijednosti promatranih varijabli </w:t>
      </w:r>
      <w:r w:rsidR="00542F29" w:rsidRPr="00542F29">
        <w:rPr>
          <w:rFonts w:ascii="Times New Roman" w:hAnsi="Times New Roman" w:cs="Times New Roman"/>
          <w:sz w:val="24"/>
          <w:szCs w:val="24"/>
        </w:rPr>
        <w:t>su uočene</w:t>
      </w:r>
      <w:r w:rsidR="006F5C78">
        <w:rPr>
          <w:rFonts w:ascii="Times New Roman" w:hAnsi="Times New Roman" w:cs="Times New Roman"/>
          <w:sz w:val="24"/>
          <w:szCs w:val="24"/>
        </w:rPr>
        <w:t xml:space="preserve"> kod VS, KK I USV</w:t>
      </w:r>
      <w:r w:rsidR="00542F29" w:rsidRPr="00542F29">
        <w:rPr>
          <w:rFonts w:ascii="Times New Roman" w:hAnsi="Times New Roman" w:cs="Times New Roman"/>
          <w:sz w:val="24"/>
          <w:szCs w:val="24"/>
        </w:rPr>
        <w:t>.</w:t>
      </w:r>
      <w:r w:rsidRPr="00542F29">
        <w:rPr>
          <w:rFonts w:ascii="Times New Roman" w:hAnsi="Times New Roman" w:cs="Times New Roman"/>
          <w:sz w:val="24"/>
          <w:szCs w:val="24"/>
        </w:rPr>
        <w:t xml:space="preserve"> </w:t>
      </w:r>
      <w:r w:rsidRPr="00D10092">
        <w:rPr>
          <w:rFonts w:ascii="Times New Roman" w:hAnsi="Times New Roman" w:cs="Times New Roman"/>
          <w:sz w:val="24"/>
          <w:szCs w:val="24"/>
        </w:rPr>
        <w:t>Ergonomska analiza na brdskim biciklima pokazala se važnom s obzirom da su napravljene promjene u ergonomskim</w:t>
      </w:r>
      <w:r w:rsidR="006F5C78">
        <w:rPr>
          <w:rFonts w:ascii="Times New Roman" w:hAnsi="Times New Roman" w:cs="Times New Roman"/>
          <w:sz w:val="24"/>
          <w:szCs w:val="24"/>
        </w:rPr>
        <w:t xml:space="preserve"> postavkama brdskih bicikala kod </w:t>
      </w:r>
      <w:r w:rsidRPr="00D10092">
        <w:rPr>
          <w:rFonts w:ascii="Times New Roman" w:hAnsi="Times New Roman" w:cs="Times New Roman"/>
          <w:sz w:val="24"/>
          <w:szCs w:val="24"/>
        </w:rPr>
        <w:t>ispitanika.</w:t>
      </w:r>
    </w:p>
    <w:p w:rsidR="006F5C78" w:rsidRPr="00D10092" w:rsidRDefault="006F5C78" w:rsidP="00D10092">
      <w:pPr>
        <w:spacing w:line="360" w:lineRule="auto"/>
        <w:jc w:val="both"/>
        <w:rPr>
          <w:rFonts w:ascii="Times New Roman" w:hAnsi="Times New Roman" w:cs="Times New Roman"/>
          <w:b/>
          <w:sz w:val="24"/>
          <w:szCs w:val="24"/>
        </w:rPr>
      </w:pPr>
    </w:p>
    <w:p w:rsidR="00D10092" w:rsidRPr="00D10092" w:rsidRDefault="00550AD9" w:rsidP="006F5C78">
      <w:pPr>
        <w:rPr>
          <w:rFonts w:ascii="Times New Roman" w:hAnsi="Times New Roman" w:cs="Times New Roman"/>
          <w:b/>
          <w:sz w:val="24"/>
          <w:szCs w:val="24"/>
        </w:rPr>
      </w:pPr>
      <w:r>
        <w:rPr>
          <w:rFonts w:ascii="Times New Roman" w:hAnsi="Times New Roman" w:cs="Times New Roman"/>
          <w:b/>
          <w:sz w:val="24"/>
          <w:szCs w:val="24"/>
        </w:rPr>
        <w:lastRenderedPageBreak/>
        <w:t>7.</w:t>
      </w:r>
      <w:r w:rsidR="00EF03A8">
        <w:rPr>
          <w:rFonts w:ascii="Times New Roman" w:hAnsi="Times New Roman" w:cs="Times New Roman"/>
          <w:b/>
          <w:sz w:val="24"/>
          <w:szCs w:val="24"/>
        </w:rPr>
        <w:t xml:space="preserve"> </w:t>
      </w:r>
      <w:r w:rsidR="00FA1663" w:rsidRPr="00550AD9">
        <w:rPr>
          <w:rFonts w:ascii="Times New Roman" w:hAnsi="Times New Roman" w:cs="Times New Roman"/>
          <w:b/>
          <w:sz w:val="24"/>
          <w:szCs w:val="24"/>
        </w:rPr>
        <w:t>Literatura</w:t>
      </w:r>
    </w:p>
    <w:p w:rsidR="00FA1663" w:rsidRPr="00FA1663" w:rsidRDefault="00FA1663" w:rsidP="00FA1663">
      <w:pPr>
        <w:pStyle w:val="Odlomakpopisa"/>
        <w:rPr>
          <w:rFonts w:ascii="Times New Roman" w:hAnsi="Times New Roman" w:cs="Times New Roman"/>
          <w:b/>
          <w:sz w:val="24"/>
          <w:szCs w:val="24"/>
        </w:rPr>
      </w:pPr>
    </w:p>
    <w:p w:rsidR="00FA1663" w:rsidRDefault="00FA1663" w:rsidP="00FA1663">
      <w:pPr>
        <w:pStyle w:val="Odlomakpopisa"/>
        <w:numPr>
          <w:ilvl w:val="0"/>
          <w:numId w:val="7"/>
        </w:numPr>
        <w:spacing w:line="360" w:lineRule="auto"/>
        <w:jc w:val="both"/>
        <w:rPr>
          <w:rFonts w:ascii="Times New Roman" w:hAnsi="Times New Roman" w:cs="Times New Roman"/>
          <w:sz w:val="24"/>
          <w:szCs w:val="24"/>
        </w:rPr>
      </w:pPr>
      <w:r w:rsidRPr="00FA1663">
        <w:rPr>
          <w:rFonts w:ascii="Times New Roman" w:hAnsi="Times New Roman" w:cs="Times New Roman"/>
          <w:sz w:val="24"/>
          <w:szCs w:val="24"/>
        </w:rPr>
        <w:t>Asplund, M.D. i St Pierre, P. (2004). Knee pain and bicycling. The Physician and Sports Medicine, 32, 23-30.</w:t>
      </w:r>
    </w:p>
    <w:p w:rsidR="00FA1663" w:rsidRDefault="00FA1663" w:rsidP="00FA1663">
      <w:pPr>
        <w:pStyle w:val="Odlomakpopisa"/>
        <w:numPr>
          <w:ilvl w:val="0"/>
          <w:numId w:val="7"/>
        </w:numPr>
        <w:spacing w:line="360" w:lineRule="auto"/>
        <w:jc w:val="both"/>
        <w:rPr>
          <w:rFonts w:ascii="Times New Roman" w:hAnsi="Times New Roman" w:cs="Times New Roman"/>
          <w:sz w:val="24"/>
          <w:szCs w:val="24"/>
        </w:rPr>
      </w:pPr>
      <w:r w:rsidRPr="00FA1663">
        <w:rPr>
          <w:rFonts w:ascii="Times New Roman" w:hAnsi="Times New Roman" w:cs="Times New Roman"/>
          <w:sz w:val="24"/>
          <w:szCs w:val="24"/>
        </w:rPr>
        <w:t>Burke, E. R. (1994). Proper fit of the bicycle. Clinics in Sports Medicine, 13(1), 1-14.</w:t>
      </w:r>
    </w:p>
    <w:p w:rsidR="00FA1663" w:rsidRDefault="00FA1663" w:rsidP="00FA1663">
      <w:pPr>
        <w:pStyle w:val="Odlomakpopisa"/>
        <w:numPr>
          <w:ilvl w:val="0"/>
          <w:numId w:val="7"/>
        </w:numPr>
        <w:spacing w:line="360" w:lineRule="auto"/>
        <w:jc w:val="both"/>
        <w:rPr>
          <w:rFonts w:ascii="Times New Roman" w:hAnsi="Times New Roman" w:cs="Times New Roman"/>
          <w:sz w:val="24"/>
          <w:szCs w:val="24"/>
        </w:rPr>
      </w:pPr>
      <w:r w:rsidRPr="00FA1663">
        <w:rPr>
          <w:rFonts w:ascii="Times New Roman" w:hAnsi="Times New Roman" w:cs="Times New Roman"/>
          <w:sz w:val="24"/>
          <w:szCs w:val="24"/>
        </w:rPr>
        <w:t xml:space="preserve">Ericson, M. O., Ekholm, J., Svensson, O. i Nisell, R. (1985). The forces of </w:t>
      </w:r>
      <w:r>
        <w:rPr>
          <w:rFonts w:ascii="Times New Roman" w:hAnsi="Times New Roman" w:cs="Times New Roman"/>
          <w:sz w:val="24"/>
          <w:szCs w:val="24"/>
        </w:rPr>
        <w:t xml:space="preserve">  </w:t>
      </w:r>
    </w:p>
    <w:p w:rsidR="006B7DEE" w:rsidRDefault="00FA1663" w:rsidP="00FA1663">
      <w:pPr>
        <w:pStyle w:val="Odlomakpopisa"/>
        <w:spacing w:line="360" w:lineRule="auto"/>
        <w:ind w:left="1410"/>
        <w:jc w:val="both"/>
        <w:rPr>
          <w:rFonts w:ascii="Times New Roman" w:hAnsi="Times New Roman" w:cs="Times New Roman"/>
          <w:sz w:val="24"/>
          <w:szCs w:val="24"/>
        </w:rPr>
      </w:pPr>
      <w:r w:rsidRPr="00FA1663">
        <w:rPr>
          <w:rFonts w:ascii="Times New Roman" w:hAnsi="Times New Roman" w:cs="Times New Roman"/>
          <w:sz w:val="24"/>
          <w:szCs w:val="24"/>
        </w:rPr>
        <w:t>ankle joint structures during ergometer cycling. Foot &amp; Ankle, 6(3), 135-142.</w:t>
      </w:r>
    </w:p>
    <w:p w:rsidR="00FA1663" w:rsidRPr="00FA1663" w:rsidRDefault="00FA1663" w:rsidP="00FA1663">
      <w:pPr>
        <w:pStyle w:val="Odlomakpopisa"/>
        <w:numPr>
          <w:ilvl w:val="0"/>
          <w:numId w:val="7"/>
        </w:numPr>
        <w:spacing w:line="360" w:lineRule="auto"/>
        <w:jc w:val="both"/>
        <w:rPr>
          <w:rFonts w:ascii="Times New Roman" w:hAnsi="Times New Roman" w:cs="Times New Roman"/>
          <w:sz w:val="24"/>
          <w:szCs w:val="24"/>
        </w:rPr>
      </w:pPr>
      <w:r w:rsidRPr="00FA1663">
        <w:rPr>
          <w:rFonts w:ascii="Times New Roman" w:hAnsi="Times New Roman" w:cs="Times New Roman"/>
          <w:sz w:val="24"/>
          <w:szCs w:val="24"/>
        </w:rPr>
        <w:t>Fonda, B. i Šarabon, N. (2010). Biomechanics Of Cycling: Literature Review. Sport Sci. Rev. 19, 1/2, 187-210.</w:t>
      </w:r>
    </w:p>
    <w:p w:rsidR="00FA1663" w:rsidRDefault="00FA1663" w:rsidP="00FA1663">
      <w:pPr>
        <w:pStyle w:val="Odlomakpopisa"/>
        <w:numPr>
          <w:ilvl w:val="0"/>
          <w:numId w:val="7"/>
        </w:numPr>
        <w:spacing w:line="360" w:lineRule="auto"/>
        <w:jc w:val="both"/>
        <w:rPr>
          <w:rFonts w:ascii="Times New Roman" w:hAnsi="Times New Roman" w:cs="Times New Roman"/>
          <w:sz w:val="24"/>
          <w:szCs w:val="24"/>
        </w:rPr>
      </w:pPr>
      <w:r w:rsidRPr="00FA1663">
        <w:rPr>
          <w:rFonts w:ascii="Times New Roman" w:hAnsi="Times New Roman" w:cs="Times New Roman"/>
          <w:sz w:val="24"/>
          <w:szCs w:val="24"/>
        </w:rPr>
        <w:t>Hamley, E. J. i Thomas, V. (1967). Physiological and postural factors in the calibration of the bicycle ergometer. The Journal of Physiology, 191(2), 55P–56P.</w:t>
      </w:r>
    </w:p>
    <w:p w:rsidR="00C47CFA" w:rsidRPr="00C47CFA" w:rsidRDefault="00C47CFA" w:rsidP="00C47CFA">
      <w:pPr>
        <w:pStyle w:val="Odlomakpopisa"/>
        <w:numPr>
          <w:ilvl w:val="0"/>
          <w:numId w:val="7"/>
        </w:numPr>
        <w:spacing w:line="360" w:lineRule="auto"/>
        <w:rPr>
          <w:rFonts w:ascii="Times New Roman" w:hAnsi="Times New Roman" w:cs="Times New Roman"/>
          <w:sz w:val="24"/>
          <w:szCs w:val="24"/>
        </w:rPr>
      </w:pPr>
      <w:r w:rsidRPr="00C47CFA">
        <w:rPr>
          <w:rFonts w:ascii="Times New Roman" w:hAnsi="Times New Roman" w:cs="Times New Roman"/>
          <w:sz w:val="24"/>
          <w:szCs w:val="24"/>
        </w:rPr>
        <w:t>Hannaford, D.P.M., Moran, G.T. i Hlavac, A.M. (1986). Video analysis and treatment of overuse knee injury in cycling: a limited clinical study. Clinics in Podiatric Medicine and Surgery, 3, 671-678.</w:t>
      </w:r>
    </w:p>
    <w:p w:rsidR="00CC0C32" w:rsidRPr="003E504B" w:rsidRDefault="00C47CFA" w:rsidP="003E504B">
      <w:pPr>
        <w:pStyle w:val="Odlomakpopisa"/>
        <w:numPr>
          <w:ilvl w:val="0"/>
          <w:numId w:val="7"/>
        </w:numPr>
        <w:spacing w:line="360" w:lineRule="auto"/>
        <w:rPr>
          <w:rFonts w:ascii="Times New Roman" w:hAnsi="Times New Roman" w:cs="Times New Roman"/>
          <w:sz w:val="24"/>
          <w:szCs w:val="24"/>
        </w:rPr>
      </w:pPr>
      <w:r w:rsidRPr="00C47CFA">
        <w:rPr>
          <w:rFonts w:ascii="Times New Roman" w:hAnsi="Times New Roman" w:cs="Times New Roman"/>
          <w:sz w:val="24"/>
          <w:szCs w:val="24"/>
        </w:rPr>
        <w:t>Holmes, J. C., Pruitt, A. L. I  Whalen, N. J. (1994). Lower extremity overuse in bicycling. Clinics in Sports Medicine, 13(1), 187–205.</w:t>
      </w:r>
    </w:p>
    <w:p w:rsidR="00FA1663" w:rsidRDefault="00C47CFA" w:rsidP="00C47CFA">
      <w:pPr>
        <w:pStyle w:val="Odlomakpopisa"/>
        <w:numPr>
          <w:ilvl w:val="0"/>
          <w:numId w:val="7"/>
        </w:numPr>
        <w:spacing w:line="360" w:lineRule="auto"/>
        <w:jc w:val="both"/>
        <w:rPr>
          <w:rFonts w:ascii="Times New Roman" w:hAnsi="Times New Roman" w:cs="Times New Roman"/>
          <w:sz w:val="24"/>
          <w:szCs w:val="24"/>
        </w:rPr>
      </w:pPr>
      <w:r w:rsidRPr="00C47CFA">
        <w:rPr>
          <w:rFonts w:ascii="Times New Roman" w:hAnsi="Times New Roman" w:cs="Times New Roman"/>
          <w:sz w:val="24"/>
          <w:szCs w:val="24"/>
        </w:rPr>
        <w:t>Pruitt, A. i The Boulder Center for Sports Medicine. (2010). Body Geometry fit level 1. Specialized Bicycle Components.</w:t>
      </w:r>
    </w:p>
    <w:p w:rsidR="00560578" w:rsidRPr="00560578" w:rsidRDefault="00560578" w:rsidP="00560578">
      <w:pPr>
        <w:pStyle w:val="Odlomakpopisa"/>
        <w:numPr>
          <w:ilvl w:val="0"/>
          <w:numId w:val="7"/>
        </w:numPr>
        <w:spacing w:line="360" w:lineRule="auto"/>
        <w:rPr>
          <w:rFonts w:ascii="Times New Roman" w:hAnsi="Times New Roman" w:cs="Times New Roman"/>
          <w:sz w:val="24"/>
          <w:szCs w:val="24"/>
        </w:rPr>
      </w:pPr>
      <w:r w:rsidRPr="00560578">
        <w:rPr>
          <w:rFonts w:ascii="Times New Roman" w:hAnsi="Times New Roman" w:cs="Times New Roman"/>
          <w:sz w:val="24"/>
          <w:szCs w:val="24"/>
        </w:rPr>
        <w:t>Schwarzer, U. (2002). Cycling and Penile Oxygen Pressure: the Type of Saddle Matters. European Urology 41, 139-143.</w:t>
      </w:r>
    </w:p>
    <w:p w:rsidR="00CC0C32" w:rsidRDefault="00CC0C32" w:rsidP="00C47CFA">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Segin, J., Štimec,B., Pavlec,N.</w:t>
      </w:r>
      <w:r w:rsidR="000D11CD">
        <w:rPr>
          <w:rFonts w:ascii="Times New Roman" w:hAnsi="Times New Roman" w:cs="Times New Roman"/>
          <w:sz w:val="24"/>
          <w:szCs w:val="24"/>
        </w:rPr>
        <w:t xml:space="preserve"> (2017). Podešavanje bicikla prema vozaču. 15. međunarodna konferencija Kondicijska priprema sportaša.(265-268).</w:t>
      </w:r>
    </w:p>
    <w:p w:rsidR="002A0A9E" w:rsidRDefault="0094185E" w:rsidP="00EF03A8">
      <w:pPr>
        <w:jc w:val="both"/>
        <w:rPr>
          <w:rFonts w:ascii="Times New Roman" w:hAnsi="Times New Roman" w:cs="Times New Roman"/>
          <w:b/>
          <w:sz w:val="24"/>
          <w:szCs w:val="24"/>
        </w:rPr>
      </w:pPr>
      <w:r>
        <w:rPr>
          <w:rFonts w:ascii="Times New Roman" w:hAnsi="Times New Roman" w:cs="Times New Roman"/>
          <w:b/>
          <w:sz w:val="24"/>
          <w:szCs w:val="24"/>
        </w:rPr>
        <w:t>Juraj Segin, student kineziološkog fakulteta</w:t>
      </w:r>
    </w:p>
    <w:p w:rsidR="0094185E" w:rsidRDefault="0094185E" w:rsidP="00EF03A8">
      <w:pPr>
        <w:jc w:val="both"/>
        <w:rPr>
          <w:rFonts w:ascii="Times New Roman" w:hAnsi="Times New Roman" w:cs="Times New Roman"/>
          <w:b/>
          <w:sz w:val="24"/>
          <w:szCs w:val="24"/>
        </w:rPr>
      </w:pPr>
      <w:r>
        <w:rPr>
          <w:rFonts w:ascii="Times New Roman" w:hAnsi="Times New Roman" w:cs="Times New Roman"/>
          <w:b/>
          <w:sz w:val="24"/>
          <w:szCs w:val="24"/>
        </w:rPr>
        <w:t>Adresa: Istarska 15a, 43000 Bjelovar</w:t>
      </w:r>
    </w:p>
    <w:p w:rsidR="0094185E" w:rsidRDefault="0094185E" w:rsidP="00EF03A8">
      <w:pPr>
        <w:jc w:val="both"/>
        <w:rPr>
          <w:rFonts w:ascii="Times New Roman" w:hAnsi="Times New Roman" w:cs="Times New Roman"/>
          <w:b/>
          <w:sz w:val="24"/>
          <w:szCs w:val="24"/>
        </w:rPr>
      </w:pPr>
      <w:r>
        <w:rPr>
          <w:rFonts w:ascii="Times New Roman" w:hAnsi="Times New Roman" w:cs="Times New Roman"/>
          <w:b/>
          <w:sz w:val="24"/>
          <w:szCs w:val="24"/>
        </w:rPr>
        <w:t xml:space="preserve">Email: </w:t>
      </w:r>
      <w:bookmarkStart w:id="5" w:name="_GoBack"/>
      <w:bookmarkEnd w:id="5"/>
      <w:r>
        <w:rPr>
          <w:rFonts w:ascii="Times New Roman" w:hAnsi="Times New Roman" w:cs="Times New Roman"/>
          <w:b/>
          <w:sz w:val="24"/>
          <w:szCs w:val="24"/>
        </w:rPr>
        <w:t>segin1996@gmail.com</w:t>
      </w:r>
    </w:p>
    <w:p w:rsidR="0094185E" w:rsidRDefault="0094185E" w:rsidP="00EF03A8">
      <w:pPr>
        <w:jc w:val="both"/>
        <w:rPr>
          <w:rFonts w:ascii="Times New Roman" w:hAnsi="Times New Roman" w:cs="Times New Roman"/>
          <w:b/>
          <w:sz w:val="24"/>
          <w:szCs w:val="24"/>
        </w:rPr>
      </w:pPr>
      <w:r>
        <w:rPr>
          <w:rFonts w:ascii="Times New Roman" w:hAnsi="Times New Roman" w:cs="Times New Roman"/>
          <w:b/>
          <w:sz w:val="24"/>
          <w:szCs w:val="24"/>
        </w:rPr>
        <w:t>Mob:0959042077</w:t>
      </w:r>
    </w:p>
    <w:p w:rsidR="00C87A0D" w:rsidRDefault="003E504B" w:rsidP="00EF03A8">
      <w:pPr>
        <w:jc w:val="both"/>
        <w:rPr>
          <w:rFonts w:ascii="Times New Roman" w:hAnsi="Times New Roman" w:cs="Times New Roman"/>
          <w:b/>
          <w:sz w:val="24"/>
          <w:szCs w:val="24"/>
        </w:rPr>
      </w:pPr>
      <w:r>
        <w:rPr>
          <w:rFonts w:ascii="Times New Roman" w:hAnsi="Times New Roman" w:cs="Times New Roman"/>
          <w:b/>
          <w:sz w:val="24"/>
          <w:szCs w:val="24"/>
        </w:rPr>
        <w:t>Dr.sc. Branimir Štimec, prof.</w:t>
      </w:r>
      <w:r w:rsidR="00C87A0D">
        <w:rPr>
          <w:rFonts w:ascii="Times New Roman" w:hAnsi="Times New Roman" w:cs="Times New Roman"/>
          <w:b/>
          <w:sz w:val="24"/>
          <w:szCs w:val="24"/>
        </w:rPr>
        <w:t>;</w:t>
      </w:r>
      <w:r>
        <w:rPr>
          <w:rFonts w:ascii="Times New Roman" w:hAnsi="Times New Roman" w:cs="Times New Roman"/>
          <w:b/>
          <w:sz w:val="24"/>
          <w:szCs w:val="24"/>
        </w:rPr>
        <w:t xml:space="preserve"> </w:t>
      </w:r>
      <w:r w:rsidR="00C87A0D">
        <w:rPr>
          <w:rFonts w:ascii="Times New Roman" w:hAnsi="Times New Roman" w:cs="Times New Roman"/>
          <w:b/>
          <w:sz w:val="24"/>
          <w:szCs w:val="24"/>
        </w:rPr>
        <w:t>Institucija: Osnovna škola Vinica</w:t>
      </w:r>
      <w:r w:rsidR="001476F8">
        <w:rPr>
          <w:rFonts w:ascii="Times New Roman" w:hAnsi="Times New Roman" w:cs="Times New Roman"/>
          <w:b/>
          <w:sz w:val="24"/>
          <w:szCs w:val="24"/>
        </w:rPr>
        <w:t>;</w:t>
      </w:r>
    </w:p>
    <w:p w:rsidR="001476F8" w:rsidRDefault="00C87A0D" w:rsidP="00EF03A8">
      <w:pPr>
        <w:jc w:val="both"/>
        <w:rPr>
          <w:rFonts w:ascii="Times New Roman" w:hAnsi="Times New Roman" w:cs="Times New Roman"/>
          <w:b/>
          <w:sz w:val="24"/>
          <w:szCs w:val="24"/>
        </w:rPr>
      </w:pPr>
      <w:r>
        <w:rPr>
          <w:rFonts w:ascii="Times New Roman" w:hAnsi="Times New Roman" w:cs="Times New Roman"/>
          <w:b/>
          <w:sz w:val="24"/>
          <w:szCs w:val="24"/>
        </w:rPr>
        <w:t>Adresa: Marčan , Vinička 61 42207 Vinica</w:t>
      </w:r>
      <w:r w:rsidR="001476F8">
        <w:rPr>
          <w:rFonts w:ascii="Times New Roman" w:hAnsi="Times New Roman" w:cs="Times New Roman"/>
          <w:b/>
          <w:sz w:val="24"/>
          <w:szCs w:val="24"/>
        </w:rPr>
        <w:t xml:space="preserve">; </w:t>
      </w:r>
      <w:r>
        <w:rPr>
          <w:rFonts w:ascii="Times New Roman" w:hAnsi="Times New Roman" w:cs="Times New Roman"/>
          <w:b/>
          <w:sz w:val="24"/>
          <w:szCs w:val="24"/>
        </w:rPr>
        <w:t xml:space="preserve">e-mail: </w:t>
      </w:r>
      <w:hyperlink r:id="rId11" w:history="1">
        <w:r w:rsidR="003E504B" w:rsidRPr="00B008F7">
          <w:rPr>
            <w:rStyle w:val="Hiperveza"/>
            <w:rFonts w:ascii="Times New Roman" w:hAnsi="Times New Roman" w:cs="Times New Roman"/>
            <w:b/>
            <w:sz w:val="24"/>
            <w:szCs w:val="24"/>
          </w:rPr>
          <w:t>branimirstimec@gmail.com</w:t>
        </w:r>
      </w:hyperlink>
      <w:r w:rsidR="003E504B">
        <w:rPr>
          <w:rFonts w:ascii="Times New Roman" w:hAnsi="Times New Roman" w:cs="Times New Roman"/>
          <w:b/>
          <w:sz w:val="24"/>
          <w:szCs w:val="24"/>
        </w:rPr>
        <w:t xml:space="preserve"> </w:t>
      </w:r>
    </w:p>
    <w:p w:rsidR="00EF03A8" w:rsidRDefault="001476F8" w:rsidP="00EF03A8">
      <w:pPr>
        <w:jc w:val="both"/>
        <w:rPr>
          <w:rFonts w:ascii="Times New Roman" w:hAnsi="Times New Roman" w:cs="Times New Roman"/>
          <w:b/>
          <w:sz w:val="24"/>
          <w:szCs w:val="24"/>
        </w:rPr>
      </w:pPr>
      <w:r>
        <w:rPr>
          <w:rFonts w:ascii="Times New Roman" w:hAnsi="Times New Roman" w:cs="Times New Roman"/>
          <w:b/>
          <w:sz w:val="24"/>
          <w:szCs w:val="24"/>
        </w:rPr>
        <w:t xml:space="preserve">Mob: </w:t>
      </w:r>
      <w:r w:rsidR="003E504B">
        <w:rPr>
          <w:rFonts w:ascii="Times New Roman" w:hAnsi="Times New Roman" w:cs="Times New Roman"/>
          <w:b/>
          <w:sz w:val="24"/>
          <w:szCs w:val="24"/>
        </w:rPr>
        <w:t>0917884816</w:t>
      </w:r>
    </w:p>
    <w:p w:rsidR="001F6D48" w:rsidRPr="00914116" w:rsidRDefault="001F6D48" w:rsidP="009F0AC5">
      <w:pPr>
        <w:jc w:val="both"/>
        <w:rPr>
          <w:rFonts w:ascii="Times New Roman" w:hAnsi="Times New Roman" w:cs="Times New Roman"/>
          <w:sz w:val="24"/>
          <w:szCs w:val="24"/>
        </w:rPr>
      </w:pPr>
    </w:p>
    <w:sectPr w:rsidR="001F6D48" w:rsidRPr="00914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F7" w:rsidRDefault="00FF58F7" w:rsidP="00945A43">
      <w:pPr>
        <w:spacing w:after="0" w:line="240" w:lineRule="auto"/>
      </w:pPr>
      <w:r>
        <w:separator/>
      </w:r>
    </w:p>
  </w:endnote>
  <w:endnote w:type="continuationSeparator" w:id="0">
    <w:p w:rsidR="00FF58F7" w:rsidRDefault="00FF58F7" w:rsidP="0094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F7" w:rsidRDefault="00FF58F7" w:rsidP="00945A43">
      <w:pPr>
        <w:spacing w:after="0" w:line="240" w:lineRule="auto"/>
      </w:pPr>
      <w:r>
        <w:separator/>
      </w:r>
    </w:p>
  </w:footnote>
  <w:footnote w:type="continuationSeparator" w:id="0">
    <w:p w:rsidR="00FF58F7" w:rsidRDefault="00FF58F7" w:rsidP="00945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46AB"/>
    <w:multiLevelType w:val="hybridMultilevel"/>
    <w:tmpl w:val="5CC6A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B263D2"/>
    <w:multiLevelType w:val="hybridMultilevel"/>
    <w:tmpl w:val="1B9E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930EE7"/>
    <w:multiLevelType w:val="hybridMultilevel"/>
    <w:tmpl w:val="8C668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A1050"/>
    <w:multiLevelType w:val="hybridMultilevel"/>
    <w:tmpl w:val="10B2D6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CF0B58"/>
    <w:multiLevelType w:val="hybridMultilevel"/>
    <w:tmpl w:val="78944082"/>
    <w:lvl w:ilvl="0" w:tplc="B910365A">
      <w:start w:val="1"/>
      <w:numFmt w:val="decimal"/>
      <w:lvlText w:val="%1."/>
      <w:lvlJc w:val="left"/>
      <w:pPr>
        <w:ind w:left="1410" w:hanging="645"/>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5" w15:restartNumberingAfterBreak="0">
    <w:nsid w:val="424508A2"/>
    <w:multiLevelType w:val="hybridMultilevel"/>
    <w:tmpl w:val="D7CE7EBA"/>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D919CF"/>
    <w:multiLevelType w:val="hybridMultilevel"/>
    <w:tmpl w:val="97F40D30"/>
    <w:lvl w:ilvl="0" w:tplc="041A000F">
      <w:start w:val="1"/>
      <w:numFmt w:val="decimal"/>
      <w:lvlText w:val="%1."/>
      <w:lvlJc w:val="left"/>
      <w:pPr>
        <w:ind w:left="92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3460C43"/>
    <w:multiLevelType w:val="hybridMultilevel"/>
    <w:tmpl w:val="5680E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3767EB"/>
    <w:multiLevelType w:val="hybridMultilevel"/>
    <w:tmpl w:val="5A12CA9A"/>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1A6F2D"/>
    <w:multiLevelType w:val="hybridMultilevel"/>
    <w:tmpl w:val="D2D254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3"/>
  </w:num>
  <w:num w:numId="5">
    <w:abstractNumId w:val="0"/>
  </w:num>
  <w:num w:numId="6">
    <w:abstractNumId w:val="1"/>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1E"/>
    <w:rsid w:val="00052F6F"/>
    <w:rsid w:val="00097398"/>
    <w:rsid w:val="000D11CD"/>
    <w:rsid w:val="00111B21"/>
    <w:rsid w:val="001476F8"/>
    <w:rsid w:val="00161E3B"/>
    <w:rsid w:val="001748D6"/>
    <w:rsid w:val="001F6D48"/>
    <w:rsid w:val="00221F8B"/>
    <w:rsid w:val="00273455"/>
    <w:rsid w:val="002A0A9E"/>
    <w:rsid w:val="003D11EB"/>
    <w:rsid w:val="003E504B"/>
    <w:rsid w:val="003E7DAE"/>
    <w:rsid w:val="004252EE"/>
    <w:rsid w:val="004E6317"/>
    <w:rsid w:val="005101B5"/>
    <w:rsid w:val="00515DF7"/>
    <w:rsid w:val="00540CD5"/>
    <w:rsid w:val="00542F29"/>
    <w:rsid w:val="00550AD9"/>
    <w:rsid w:val="00560578"/>
    <w:rsid w:val="00596B19"/>
    <w:rsid w:val="005F17D7"/>
    <w:rsid w:val="00607072"/>
    <w:rsid w:val="006B7DEE"/>
    <w:rsid w:val="006F5C78"/>
    <w:rsid w:val="00770547"/>
    <w:rsid w:val="00777FD2"/>
    <w:rsid w:val="007B65B9"/>
    <w:rsid w:val="00883D18"/>
    <w:rsid w:val="008E08EE"/>
    <w:rsid w:val="00914116"/>
    <w:rsid w:val="00921F5C"/>
    <w:rsid w:val="0093220E"/>
    <w:rsid w:val="0094185E"/>
    <w:rsid w:val="00945A43"/>
    <w:rsid w:val="00967AB2"/>
    <w:rsid w:val="009724DB"/>
    <w:rsid w:val="009D6532"/>
    <w:rsid w:val="009F0AC5"/>
    <w:rsid w:val="00A114C8"/>
    <w:rsid w:val="00A31A3F"/>
    <w:rsid w:val="00A9632F"/>
    <w:rsid w:val="00AD2ECD"/>
    <w:rsid w:val="00B42962"/>
    <w:rsid w:val="00B86A88"/>
    <w:rsid w:val="00BA2988"/>
    <w:rsid w:val="00BC58D3"/>
    <w:rsid w:val="00BF0782"/>
    <w:rsid w:val="00C05709"/>
    <w:rsid w:val="00C47CFA"/>
    <w:rsid w:val="00C87A0D"/>
    <w:rsid w:val="00CC0C32"/>
    <w:rsid w:val="00D10092"/>
    <w:rsid w:val="00D51290"/>
    <w:rsid w:val="00D70F48"/>
    <w:rsid w:val="00DC7A1E"/>
    <w:rsid w:val="00E1098D"/>
    <w:rsid w:val="00E526CB"/>
    <w:rsid w:val="00EA284D"/>
    <w:rsid w:val="00EE581E"/>
    <w:rsid w:val="00EF03A8"/>
    <w:rsid w:val="00F31F25"/>
    <w:rsid w:val="00F523D6"/>
    <w:rsid w:val="00FA1663"/>
    <w:rsid w:val="00FF05E1"/>
    <w:rsid w:val="00FF58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DA0F"/>
  <w15:docId w15:val="{153395E5-B0A1-4807-86C4-F0E7D3B3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E58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581E"/>
    <w:rPr>
      <w:rFonts w:ascii="Tahoma" w:hAnsi="Tahoma" w:cs="Tahoma"/>
      <w:sz w:val="16"/>
      <w:szCs w:val="16"/>
    </w:rPr>
  </w:style>
  <w:style w:type="table" w:styleId="Reetkatablice">
    <w:name w:val="Table Grid"/>
    <w:basedOn w:val="Obinatablica"/>
    <w:uiPriority w:val="59"/>
    <w:unhideWhenUsed/>
    <w:rsid w:val="00515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B7DEE"/>
    <w:pPr>
      <w:ind w:left="720"/>
      <w:contextualSpacing/>
    </w:pPr>
  </w:style>
  <w:style w:type="paragraph" w:styleId="Zaglavlje">
    <w:name w:val="header"/>
    <w:basedOn w:val="Normal"/>
    <w:link w:val="ZaglavljeChar"/>
    <w:uiPriority w:val="99"/>
    <w:unhideWhenUsed/>
    <w:rsid w:val="00945A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45A43"/>
  </w:style>
  <w:style w:type="paragraph" w:styleId="Podnoje">
    <w:name w:val="footer"/>
    <w:basedOn w:val="Normal"/>
    <w:link w:val="PodnojeChar"/>
    <w:uiPriority w:val="99"/>
    <w:unhideWhenUsed/>
    <w:rsid w:val="00945A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5A43"/>
  </w:style>
  <w:style w:type="character" w:styleId="Hiperveza">
    <w:name w:val="Hyperlink"/>
    <w:basedOn w:val="Zadanifontodlomka"/>
    <w:uiPriority w:val="99"/>
    <w:unhideWhenUsed/>
    <w:rsid w:val="003E5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428">
      <w:bodyDiv w:val="1"/>
      <w:marLeft w:val="0"/>
      <w:marRight w:val="0"/>
      <w:marTop w:val="0"/>
      <w:marBottom w:val="0"/>
      <w:divBdr>
        <w:top w:val="none" w:sz="0" w:space="0" w:color="auto"/>
        <w:left w:val="none" w:sz="0" w:space="0" w:color="auto"/>
        <w:bottom w:val="none" w:sz="0" w:space="0" w:color="auto"/>
        <w:right w:val="none" w:sz="0" w:space="0" w:color="auto"/>
      </w:divBdr>
    </w:div>
    <w:div w:id="203757519">
      <w:bodyDiv w:val="1"/>
      <w:marLeft w:val="0"/>
      <w:marRight w:val="0"/>
      <w:marTop w:val="0"/>
      <w:marBottom w:val="0"/>
      <w:divBdr>
        <w:top w:val="none" w:sz="0" w:space="0" w:color="auto"/>
        <w:left w:val="none" w:sz="0" w:space="0" w:color="auto"/>
        <w:bottom w:val="none" w:sz="0" w:space="0" w:color="auto"/>
        <w:right w:val="none" w:sz="0" w:space="0" w:color="auto"/>
      </w:divBdr>
    </w:div>
    <w:div w:id="300499730">
      <w:bodyDiv w:val="1"/>
      <w:marLeft w:val="0"/>
      <w:marRight w:val="0"/>
      <w:marTop w:val="0"/>
      <w:marBottom w:val="0"/>
      <w:divBdr>
        <w:top w:val="none" w:sz="0" w:space="0" w:color="auto"/>
        <w:left w:val="none" w:sz="0" w:space="0" w:color="auto"/>
        <w:bottom w:val="none" w:sz="0" w:space="0" w:color="auto"/>
        <w:right w:val="none" w:sz="0" w:space="0" w:color="auto"/>
      </w:divBdr>
    </w:div>
    <w:div w:id="379475672">
      <w:bodyDiv w:val="1"/>
      <w:marLeft w:val="0"/>
      <w:marRight w:val="0"/>
      <w:marTop w:val="0"/>
      <w:marBottom w:val="0"/>
      <w:divBdr>
        <w:top w:val="none" w:sz="0" w:space="0" w:color="auto"/>
        <w:left w:val="none" w:sz="0" w:space="0" w:color="auto"/>
        <w:bottom w:val="none" w:sz="0" w:space="0" w:color="auto"/>
        <w:right w:val="none" w:sz="0" w:space="0" w:color="auto"/>
      </w:divBdr>
    </w:div>
    <w:div w:id="391202376">
      <w:bodyDiv w:val="1"/>
      <w:marLeft w:val="0"/>
      <w:marRight w:val="0"/>
      <w:marTop w:val="0"/>
      <w:marBottom w:val="0"/>
      <w:divBdr>
        <w:top w:val="none" w:sz="0" w:space="0" w:color="auto"/>
        <w:left w:val="none" w:sz="0" w:space="0" w:color="auto"/>
        <w:bottom w:val="none" w:sz="0" w:space="0" w:color="auto"/>
        <w:right w:val="none" w:sz="0" w:space="0" w:color="auto"/>
      </w:divBdr>
    </w:div>
    <w:div w:id="727845651">
      <w:bodyDiv w:val="1"/>
      <w:marLeft w:val="0"/>
      <w:marRight w:val="0"/>
      <w:marTop w:val="0"/>
      <w:marBottom w:val="0"/>
      <w:divBdr>
        <w:top w:val="none" w:sz="0" w:space="0" w:color="auto"/>
        <w:left w:val="none" w:sz="0" w:space="0" w:color="auto"/>
        <w:bottom w:val="none" w:sz="0" w:space="0" w:color="auto"/>
        <w:right w:val="none" w:sz="0" w:space="0" w:color="auto"/>
      </w:divBdr>
    </w:div>
    <w:div w:id="1136071902">
      <w:bodyDiv w:val="1"/>
      <w:marLeft w:val="0"/>
      <w:marRight w:val="0"/>
      <w:marTop w:val="0"/>
      <w:marBottom w:val="0"/>
      <w:divBdr>
        <w:top w:val="none" w:sz="0" w:space="0" w:color="auto"/>
        <w:left w:val="none" w:sz="0" w:space="0" w:color="auto"/>
        <w:bottom w:val="none" w:sz="0" w:space="0" w:color="auto"/>
        <w:right w:val="none" w:sz="0" w:space="0" w:color="auto"/>
      </w:divBdr>
    </w:div>
    <w:div w:id="1148597318">
      <w:bodyDiv w:val="1"/>
      <w:marLeft w:val="0"/>
      <w:marRight w:val="0"/>
      <w:marTop w:val="0"/>
      <w:marBottom w:val="0"/>
      <w:divBdr>
        <w:top w:val="none" w:sz="0" w:space="0" w:color="auto"/>
        <w:left w:val="none" w:sz="0" w:space="0" w:color="auto"/>
        <w:bottom w:val="none" w:sz="0" w:space="0" w:color="auto"/>
        <w:right w:val="none" w:sz="0" w:space="0" w:color="auto"/>
      </w:divBdr>
    </w:div>
    <w:div w:id="1574465333">
      <w:bodyDiv w:val="1"/>
      <w:marLeft w:val="0"/>
      <w:marRight w:val="0"/>
      <w:marTop w:val="0"/>
      <w:marBottom w:val="0"/>
      <w:divBdr>
        <w:top w:val="none" w:sz="0" w:space="0" w:color="auto"/>
        <w:left w:val="none" w:sz="0" w:space="0" w:color="auto"/>
        <w:bottom w:val="none" w:sz="0" w:space="0" w:color="auto"/>
        <w:right w:val="none" w:sz="0" w:space="0" w:color="auto"/>
      </w:divBdr>
    </w:div>
    <w:div w:id="18372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imirstimec@gmail.com"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nko\Desktop\jura_grafovi_fiting_M&#268;_nov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anko\Desktop\jura_grafovi_fiting_M&#268;_nov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anko\Desktop\jura_grafovi_fiting_M&#268;_novi.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'Visina sjedala'!$B$2</c:f>
              <c:strCache>
                <c:ptCount val="1"/>
                <c:pt idx="0">
                  <c:v>VSI</c:v>
                </c:pt>
              </c:strCache>
            </c:strRef>
          </c:tx>
          <c:invertIfNegative val="0"/>
          <c:cat>
            <c:strRef>
              <c:f>'Visina sjedala'!$A$3:$A$26</c:f>
              <c:strCache>
                <c:ptCount val="24"/>
                <c:pt idx="0">
                  <c:v>R1</c:v>
                </c:pt>
                <c:pt idx="1">
                  <c:v>R2</c:v>
                </c:pt>
                <c:pt idx="2">
                  <c:v>R3</c:v>
                </c:pt>
                <c:pt idx="3">
                  <c:v>R4</c:v>
                </c:pt>
                <c:pt idx="4">
                  <c:v>R5</c:v>
                </c:pt>
                <c:pt idx="5">
                  <c:v>R6</c:v>
                </c:pt>
                <c:pt idx="6">
                  <c:v>R7</c:v>
                </c:pt>
                <c:pt idx="7">
                  <c:v>R8</c:v>
                </c:pt>
                <c:pt idx="8">
                  <c:v>R9</c:v>
                </c:pt>
                <c:pt idx="9">
                  <c:v>R10</c:v>
                </c:pt>
                <c:pt idx="10">
                  <c:v>R11</c:v>
                </c:pt>
                <c:pt idx="11">
                  <c:v>R12</c:v>
                </c:pt>
                <c:pt idx="12">
                  <c:v>R13</c:v>
                </c:pt>
                <c:pt idx="13">
                  <c:v>R14</c:v>
                </c:pt>
                <c:pt idx="14">
                  <c:v>R15</c:v>
                </c:pt>
                <c:pt idx="15">
                  <c:v>R16</c:v>
                </c:pt>
                <c:pt idx="16">
                  <c:v>R17</c:v>
                </c:pt>
                <c:pt idx="17">
                  <c:v>R18</c:v>
                </c:pt>
                <c:pt idx="18">
                  <c:v>R19</c:v>
                </c:pt>
                <c:pt idx="19">
                  <c:v>R20</c:v>
                </c:pt>
                <c:pt idx="20">
                  <c:v>R21</c:v>
                </c:pt>
                <c:pt idx="21">
                  <c:v>R22</c:v>
                </c:pt>
                <c:pt idx="22">
                  <c:v>R23</c:v>
                </c:pt>
                <c:pt idx="23">
                  <c:v>R24</c:v>
                </c:pt>
              </c:strCache>
            </c:strRef>
          </c:cat>
          <c:val>
            <c:numRef>
              <c:f>'Visina sjedala'!$B$3:$B$26</c:f>
              <c:numCache>
                <c:formatCode>General</c:formatCode>
                <c:ptCount val="24"/>
                <c:pt idx="0">
                  <c:v>725</c:v>
                </c:pt>
                <c:pt idx="1">
                  <c:v>765</c:v>
                </c:pt>
                <c:pt idx="2">
                  <c:v>783</c:v>
                </c:pt>
                <c:pt idx="3">
                  <c:v>717</c:v>
                </c:pt>
                <c:pt idx="4">
                  <c:v>784</c:v>
                </c:pt>
                <c:pt idx="5">
                  <c:v>691</c:v>
                </c:pt>
                <c:pt idx="6">
                  <c:v>777</c:v>
                </c:pt>
                <c:pt idx="7">
                  <c:v>830</c:v>
                </c:pt>
                <c:pt idx="8">
                  <c:v>723</c:v>
                </c:pt>
                <c:pt idx="9">
                  <c:v>744</c:v>
                </c:pt>
                <c:pt idx="10">
                  <c:v>833</c:v>
                </c:pt>
                <c:pt idx="11">
                  <c:v>643</c:v>
                </c:pt>
                <c:pt idx="12">
                  <c:v>760</c:v>
                </c:pt>
                <c:pt idx="13">
                  <c:v>686</c:v>
                </c:pt>
                <c:pt idx="14">
                  <c:v>825</c:v>
                </c:pt>
                <c:pt idx="15">
                  <c:v>815</c:v>
                </c:pt>
                <c:pt idx="16">
                  <c:v>690</c:v>
                </c:pt>
                <c:pt idx="17">
                  <c:v>702</c:v>
                </c:pt>
                <c:pt idx="18">
                  <c:v>855</c:v>
                </c:pt>
                <c:pt idx="19">
                  <c:v>735</c:v>
                </c:pt>
                <c:pt idx="20">
                  <c:v>791</c:v>
                </c:pt>
                <c:pt idx="21">
                  <c:v>685</c:v>
                </c:pt>
                <c:pt idx="22">
                  <c:v>725</c:v>
                </c:pt>
                <c:pt idx="23">
                  <c:v>783</c:v>
                </c:pt>
              </c:numCache>
            </c:numRef>
          </c:val>
          <c:extLst>
            <c:ext xmlns:c16="http://schemas.microsoft.com/office/drawing/2014/chart" uri="{C3380CC4-5D6E-409C-BE32-E72D297353CC}">
              <c16:uniqueId val="{00000000-C6B5-4B1C-9868-068F7EC99A2E}"/>
            </c:ext>
          </c:extLst>
        </c:ser>
        <c:ser>
          <c:idx val="1"/>
          <c:order val="1"/>
          <c:tx>
            <c:strRef>
              <c:f>'Visina sjedala'!$C$2</c:f>
              <c:strCache>
                <c:ptCount val="1"/>
                <c:pt idx="0">
                  <c:v>VSF</c:v>
                </c:pt>
              </c:strCache>
            </c:strRef>
          </c:tx>
          <c:invertIfNegative val="0"/>
          <c:cat>
            <c:strRef>
              <c:f>'Visina sjedala'!$A$3:$A$26</c:f>
              <c:strCache>
                <c:ptCount val="24"/>
                <c:pt idx="0">
                  <c:v>R1</c:v>
                </c:pt>
                <c:pt idx="1">
                  <c:v>R2</c:v>
                </c:pt>
                <c:pt idx="2">
                  <c:v>R3</c:v>
                </c:pt>
                <c:pt idx="3">
                  <c:v>R4</c:v>
                </c:pt>
                <c:pt idx="4">
                  <c:v>R5</c:v>
                </c:pt>
                <c:pt idx="5">
                  <c:v>R6</c:v>
                </c:pt>
                <c:pt idx="6">
                  <c:v>R7</c:v>
                </c:pt>
                <c:pt idx="7">
                  <c:v>R8</c:v>
                </c:pt>
                <c:pt idx="8">
                  <c:v>R9</c:v>
                </c:pt>
                <c:pt idx="9">
                  <c:v>R10</c:v>
                </c:pt>
                <c:pt idx="10">
                  <c:v>R11</c:v>
                </c:pt>
                <c:pt idx="11">
                  <c:v>R12</c:v>
                </c:pt>
                <c:pt idx="12">
                  <c:v>R13</c:v>
                </c:pt>
                <c:pt idx="13">
                  <c:v>R14</c:v>
                </c:pt>
                <c:pt idx="14">
                  <c:v>R15</c:v>
                </c:pt>
                <c:pt idx="15">
                  <c:v>R16</c:v>
                </c:pt>
                <c:pt idx="16">
                  <c:v>R17</c:v>
                </c:pt>
                <c:pt idx="17">
                  <c:v>R18</c:v>
                </c:pt>
                <c:pt idx="18">
                  <c:v>R19</c:v>
                </c:pt>
                <c:pt idx="19">
                  <c:v>R20</c:v>
                </c:pt>
                <c:pt idx="20">
                  <c:v>R21</c:v>
                </c:pt>
                <c:pt idx="21">
                  <c:v>R22</c:v>
                </c:pt>
                <c:pt idx="22">
                  <c:v>R23</c:v>
                </c:pt>
                <c:pt idx="23">
                  <c:v>R24</c:v>
                </c:pt>
              </c:strCache>
            </c:strRef>
          </c:cat>
          <c:val>
            <c:numRef>
              <c:f>'Visina sjedala'!$C$3:$C$26</c:f>
              <c:numCache>
                <c:formatCode>General</c:formatCode>
                <c:ptCount val="24"/>
                <c:pt idx="0">
                  <c:v>740</c:v>
                </c:pt>
                <c:pt idx="1">
                  <c:v>767</c:v>
                </c:pt>
                <c:pt idx="2">
                  <c:v>814</c:v>
                </c:pt>
                <c:pt idx="3">
                  <c:v>711</c:v>
                </c:pt>
                <c:pt idx="4">
                  <c:v>810</c:v>
                </c:pt>
                <c:pt idx="5">
                  <c:v>694</c:v>
                </c:pt>
                <c:pt idx="6">
                  <c:v>810</c:v>
                </c:pt>
                <c:pt idx="7">
                  <c:v>845</c:v>
                </c:pt>
                <c:pt idx="8">
                  <c:v>733</c:v>
                </c:pt>
                <c:pt idx="9">
                  <c:v>738</c:v>
                </c:pt>
                <c:pt idx="10">
                  <c:v>834</c:v>
                </c:pt>
                <c:pt idx="11">
                  <c:v>655</c:v>
                </c:pt>
                <c:pt idx="12">
                  <c:v>800</c:v>
                </c:pt>
                <c:pt idx="13">
                  <c:v>690</c:v>
                </c:pt>
                <c:pt idx="14">
                  <c:v>835</c:v>
                </c:pt>
                <c:pt idx="15">
                  <c:v>810</c:v>
                </c:pt>
                <c:pt idx="16">
                  <c:v>725</c:v>
                </c:pt>
                <c:pt idx="17">
                  <c:v>745</c:v>
                </c:pt>
                <c:pt idx="18">
                  <c:v>850</c:v>
                </c:pt>
                <c:pt idx="19">
                  <c:v>756</c:v>
                </c:pt>
                <c:pt idx="20">
                  <c:v>792</c:v>
                </c:pt>
                <c:pt idx="21">
                  <c:v>700</c:v>
                </c:pt>
                <c:pt idx="22">
                  <c:v>710</c:v>
                </c:pt>
                <c:pt idx="23">
                  <c:v>800</c:v>
                </c:pt>
              </c:numCache>
            </c:numRef>
          </c:val>
          <c:extLst>
            <c:ext xmlns:c16="http://schemas.microsoft.com/office/drawing/2014/chart" uri="{C3380CC4-5D6E-409C-BE32-E72D297353CC}">
              <c16:uniqueId val="{00000001-C6B5-4B1C-9868-068F7EC99A2E}"/>
            </c:ext>
          </c:extLst>
        </c:ser>
        <c:dLbls>
          <c:showLegendKey val="0"/>
          <c:showVal val="0"/>
          <c:showCatName val="0"/>
          <c:showSerName val="0"/>
          <c:showPercent val="0"/>
          <c:showBubbleSize val="0"/>
        </c:dLbls>
        <c:gapWidth val="150"/>
        <c:axId val="214479232"/>
        <c:axId val="214482304"/>
      </c:barChart>
      <c:catAx>
        <c:axId val="214479232"/>
        <c:scaling>
          <c:orientation val="minMax"/>
        </c:scaling>
        <c:delete val="0"/>
        <c:axPos val="b"/>
        <c:title>
          <c:tx>
            <c:rich>
              <a:bodyPr/>
              <a:lstStyle/>
              <a:p>
                <a:pPr>
                  <a:defRPr/>
                </a:pPr>
                <a:r>
                  <a:rPr lang="hr-HR"/>
                  <a:t>Ispitanik</a:t>
                </a:r>
              </a:p>
            </c:rich>
          </c:tx>
          <c:overlay val="0"/>
        </c:title>
        <c:numFmt formatCode="General" sourceLinked="0"/>
        <c:majorTickMark val="out"/>
        <c:minorTickMark val="none"/>
        <c:tickLblPos val="nextTo"/>
        <c:crossAx val="214482304"/>
        <c:crosses val="autoZero"/>
        <c:auto val="1"/>
        <c:lblAlgn val="ctr"/>
        <c:lblOffset val="100"/>
        <c:noMultiLvlLbl val="0"/>
      </c:catAx>
      <c:valAx>
        <c:axId val="214482304"/>
        <c:scaling>
          <c:orientation val="minMax"/>
        </c:scaling>
        <c:delete val="0"/>
        <c:axPos val="l"/>
        <c:majorGridlines/>
        <c:title>
          <c:tx>
            <c:rich>
              <a:bodyPr rot="-5400000" vert="horz"/>
              <a:lstStyle/>
              <a:p>
                <a:pPr>
                  <a:defRPr/>
                </a:pPr>
                <a:r>
                  <a:rPr lang="hr-HR"/>
                  <a:t>Visina sjedala/ mm</a:t>
                </a:r>
              </a:p>
            </c:rich>
          </c:tx>
          <c:overlay val="0"/>
        </c:title>
        <c:numFmt formatCode="General" sourceLinked="1"/>
        <c:majorTickMark val="out"/>
        <c:minorTickMark val="none"/>
        <c:tickLblPos val="nextTo"/>
        <c:crossAx val="21447923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'kut u koljenu'!$C$1</c:f>
              <c:strCache>
                <c:ptCount val="1"/>
                <c:pt idx="0">
                  <c:v>Razlika </c:v>
                </c:pt>
              </c:strCache>
            </c:strRef>
          </c:tx>
          <c:invertIfNegative val="0"/>
          <c:cat>
            <c:strRef>
              <c:f>'kut u koljenu'!$A$2:$A$25</c:f>
              <c:strCache>
                <c:ptCount val="24"/>
                <c:pt idx="0">
                  <c:v>R1</c:v>
                </c:pt>
                <c:pt idx="1">
                  <c:v>R2</c:v>
                </c:pt>
                <c:pt idx="2">
                  <c:v>R3</c:v>
                </c:pt>
                <c:pt idx="3">
                  <c:v>R4</c:v>
                </c:pt>
                <c:pt idx="4">
                  <c:v>R5</c:v>
                </c:pt>
                <c:pt idx="5">
                  <c:v>R6</c:v>
                </c:pt>
                <c:pt idx="6">
                  <c:v>R7</c:v>
                </c:pt>
                <c:pt idx="7">
                  <c:v>R8</c:v>
                </c:pt>
                <c:pt idx="8">
                  <c:v>R9</c:v>
                </c:pt>
                <c:pt idx="9">
                  <c:v>R10</c:v>
                </c:pt>
                <c:pt idx="10">
                  <c:v>R11</c:v>
                </c:pt>
                <c:pt idx="11">
                  <c:v>R12</c:v>
                </c:pt>
                <c:pt idx="12">
                  <c:v>R13</c:v>
                </c:pt>
                <c:pt idx="13">
                  <c:v>R14</c:v>
                </c:pt>
                <c:pt idx="14">
                  <c:v>R15</c:v>
                </c:pt>
                <c:pt idx="15">
                  <c:v>R16</c:v>
                </c:pt>
                <c:pt idx="16">
                  <c:v>R17</c:v>
                </c:pt>
                <c:pt idx="17">
                  <c:v>R18</c:v>
                </c:pt>
                <c:pt idx="18">
                  <c:v>R19</c:v>
                </c:pt>
                <c:pt idx="19">
                  <c:v>R20</c:v>
                </c:pt>
                <c:pt idx="20">
                  <c:v>R22</c:v>
                </c:pt>
                <c:pt idx="21">
                  <c:v>R23</c:v>
                </c:pt>
                <c:pt idx="22">
                  <c:v>R24</c:v>
                </c:pt>
                <c:pt idx="23">
                  <c:v>R25</c:v>
                </c:pt>
              </c:strCache>
            </c:strRef>
          </c:cat>
          <c:val>
            <c:numRef>
              <c:f>'kut u koljenu'!$C$2:$C$25</c:f>
              <c:numCache>
                <c:formatCode>General</c:formatCode>
                <c:ptCount val="24"/>
                <c:pt idx="0">
                  <c:v>15</c:v>
                </c:pt>
                <c:pt idx="1">
                  <c:v>2</c:v>
                </c:pt>
                <c:pt idx="2">
                  <c:v>22</c:v>
                </c:pt>
                <c:pt idx="3">
                  <c:v>4</c:v>
                </c:pt>
                <c:pt idx="4">
                  <c:v>10</c:v>
                </c:pt>
                <c:pt idx="5">
                  <c:v>2</c:v>
                </c:pt>
                <c:pt idx="6">
                  <c:v>16</c:v>
                </c:pt>
                <c:pt idx="7">
                  <c:v>5</c:v>
                </c:pt>
                <c:pt idx="8">
                  <c:v>10</c:v>
                </c:pt>
                <c:pt idx="9">
                  <c:v>2</c:v>
                </c:pt>
                <c:pt idx="10">
                  <c:v>0</c:v>
                </c:pt>
                <c:pt idx="11">
                  <c:v>8</c:v>
                </c:pt>
                <c:pt idx="12">
                  <c:v>15</c:v>
                </c:pt>
                <c:pt idx="13">
                  <c:v>6</c:v>
                </c:pt>
                <c:pt idx="14">
                  <c:v>6</c:v>
                </c:pt>
                <c:pt idx="15">
                  <c:v>2</c:v>
                </c:pt>
                <c:pt idx="16">
                  <c:v>20</c:v>
                </c:pt>
                <c:pt idx="17">
                  <c:v>13</c:v>
                </c:pt>
                <c:pt idx="18">
                  <c:v>2</c:v>
                </c:pt>
                <c:pt idx="19">
                  <c:v>16</c:v>
                </c:pt>
                <c:pt idx="20">
                  <c:v>1</c:v>
                </c:pt>
                <c:pt idx="21">
                  <c:v>8</c:v>
                </c:pt>
                <c:pt idx="22">
                  <c:v>6</c:v>
                </c:pt>
                <c:pt idx="23">
                  <c:v>11</c:v>
                </c:pt>
              </c:numCache>
            </c:numRef>
          </c:val>
          <c:extLst>
            <c:ext xmlns:c16="http://schemas.microsoft.com/office/drawing/2014/chart" uri="{C3380CC4-5D6E-409C-BE32-E72D297353CC}">
              <c16:uniqueId val="{00000000-3F72-49D8-85A0-020B6E411F1D}"/>
            </c:ext>
          </c:extLst>
        </c:ser>
        <c:dLbls>
          <c:showLegendKey val="0"/>
          <c:showVal val="0"/>
          <c:showCatName val="0"/>
          <c:showSerName val="0"/>
          <c:showPercent val="0"/>
          <c:showBubbleSize val="0"/>
        </c:dLbls>
        <c:gapWidth val="150"/>
        <c:axId val="18433920"/>
        <c:axId val="18436096"/>
      </c:barChart>
      <c:catAx>
        <c:axId val="18433920"/>
        <c:scaling>
          <c:orientation val="minMax"/>
        </c:scaling>
        <c:delete val="0"/>
        <c:axPos val="b"/>
        <c:title>
          <c:tx>
            <c:rich>
              <a:bodyPr/>
              <a:lstStyle/>
              <a:p>
                <a:pPr>
                  <a:defRPr/>
                </a:pPr>
                <a:r>
                  <a:rPr lang="hr-HR"/>
                  <a:t>Ispitanik</a:t>
                </a:r>
              </a:p>
            </c:rich>
          </c:tx>
          <c:overlay val="0"/>
        </c:title>
        <c:numFmt formatCode="General" sourceLinked="0"/>
        <c:majorTickMark val="out"/>
        <c:minorTickMark val="none"/>
        <c:tickLblPos val="nextTo"/>
        <c:crossAx val="18436096"/>
        <c:crosses val="autoZero"/>
        <c:auto val="1"/>
        <c:lblAlgn val="ctr"/>
        <c:lblOffset val="100"/>
        <c:noMultiLvlLbl val="0"/>
      </c:catAx>
      <c:valAx>
        <c:axId val="18436096"/>
        <c:scaling>
          <c:orientation val="minMax"/>
        </c:scaling>
        <c:delete val="0"/>
        <c:axPos val="l"/>
        <c:majorGridlines/>
        <c:title>
          <c:tx>
            <c:rich>
              <a:bodyPr rot="-5400000" vert="horz"/>
              <a:lstStyle/>
              <a:p>
                <a:pPr>
                  <a:defRPr/>
                </a:pPr>
                <a:r>
                  <a:rPr lang="hr-HR"/>
                  <a:t>Razlika</a:t>
                </a:r>
                <a:r>
                  <a:rPr lang="hr-HR" baseline="0"/>
                  <a:t> u kutu koljena / </a:t>
                </a:r>
                <a:r>
                  <a:rPr lang="hr-HR" baseline="30000"/>
                  <a:t>o</a:t>
                </a:r>
              </a:p>
            </c:rich>
          </c:tx>
          <c:overlay val="0"/>
        </c:title>
        <c:numFmt formatCode="General" sourceLinked="1"/>
        <c:majorTickMark val="out"/>
        <c:minorTickMark val="none"/>
        <c:tickLblPos val="nextTo"/>
        <c:crossAx val="184339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'pomak sjedala'!$B$1</c:f>
              <c:strCache>
                <c:ptCount val="1"/>
                <c:pt idx="0">
                  <c:v>PSNNI</c:v>
                </c:pt>
              </c:strCache>
            </c:strRef>
          </c:tx>
          <c:invertIfNegative val="0"/>
          <c:cat>
            <c:strRef>
              <c:f>'pomak sjedala'!$A$2:$A$25</c:f>
              <c:strCache>
                <c:ptCount val="24"/>
                <c:pt idx="0">
                  <c:v>R1</c:v>
                </c:pt>
                <c:pt idx="1">
                  <c:v>R2</c:v>
                </c:pt>
                <c:pt idx="2">
                  <c:v>R3</c:v>
                </c:pt>
                <c:pt idx="3">
                  <c:v>R4</c:v>
                </c:pt>
                <c:pt idx="4">
                  <c:v>R5</c:v>
                </c:pt>
                <c:pt idx="5">
                  <c:v>R6</c:v>
                </c:pt>
                <c:pt idx="6">
                  <c:v>R7</c:v>
                </c:pt>
                <c:pt idx="7">
                  <c:v>R8</c:v>
                </c:pt>
                <c:pt idx="8">
                  <c:v>R9</c:v>
                </c:pt>
                <c:pt idx="9">
                  <c:v>R10</c:v>
                </c:pt>
                <c:pt idx="10">
                  <c:v>R11</c:v>
                </c:pt>
                <c:pt idx="11">
                  <c:v>R12</c:v>
                </c:pt>
                <c:pt idx="12">
                  <c:v>R13</c:v>
                </c:pt>
                <c:pt idx="13">
                  <c:v>R14</c:v>
                </c:pt>
                <c:pt idx="14">
                  <c:v>R15</c:v>
                </c:pt>
                <c:pt idx="15">
                  <c:v>R16</c:v>
                </c:pt>
                <c:pt idx="16">
                  <c:v>R17</c:v>
                </c:pt>
                <c:pt idx="17">
                  <c:v>R18</c:v>
                </c:pt>
                <c:pt idx="18">
                  <c:v>R19</c:v>
                </c:pt>
                <c:pt idx="19">
                  <c:v>R20</c:v>
                </c:pt>
                <c:pt idx="20">
                  <c:v>R21</c:v>
                </c:pt>
                <c:pt idx="21">
                  <c:v>R22</c:v>
                </c:pt>
                <c:pt idx="22">
                  <c:v>R23</c:v>
                </c:pt>
                <c:pt idx="23">
                  <c:v>R24</c:v>
                </c:pt>
              </c:strCache>
            </c:strRef>
          </c:cat>
          <c:val>
            <c:numRef>
              <c:f>'pomak sjedala'!$B$2:$B$25</c:f>
              <c:numCache>
                <c:formatCode>General</c:formatCode>
                <c:ptCount val="24"/>
                <c:pt idx="0">
                  <c:v>-65</c:v>
                </c:pt>
                <c:pt idx="1">
                  <c:v>-73</c:v>
                </c:pt>
                <c:pt idx="2">
                  <c:v>-88</c:v>
                </c:pt>
                <c:pt idx="3">
                  <c:v>-56</c:v>
                </c:pt>
                <c:pt idx="4">
                  <c:v>-110</c:v>
                </c:pt>
                <c:pt idx="5">
                  <c:v>-35</c:v>
                </c:pt>
                <c:pt idx="6">
                  <c:v>-62</c:v>
                </c:pt>
                <c:pt idx="7">
                  <c:v>-63</c:v>
                </c:pt>
                <c:pt idx="8">
                  <c:v>-55</c:v>
                </c:pt>
                <c:pt idx="9">
                  <c:v>-55</c:v>
                </c:pt>
                <c:pt idx="10">
                  <c:v>-84</c:v>
                </c:pt>
                <c:pt idx="11">
                  <c:v>-25</c:v>
                </c:pt>
                <c:pt idx="12">
                  <c:v>-95</c:v>
                </c:pt>
                <c:pt idx="13">
                  <c:v>-55</c:v>
                </c:pt>
                <c:pt idx="14">
                  <c:v>-126</c:v>
                </c:pt>
                <c:pt idx="15">
                  <c:v>-120</c:v>
                </c:pt>
                <c:pt idx="16">
                  <c:v>-60</c:v>
                </c:pt>
                <c:pt idx="17">
                  <c:v>-35</c:v>
                </c:pt>
                <c:pt idx="18">
                  <c:v>-115</c:v>
                </c:pt>
                <c:pt idx="19">
                  <c:v>-75</c:v>
                </c:pt>
                <c:pt idx="20">
                  <c:v>-65</c:v>
                </c:pt>
                <c:pt idx="21">
                  <c:v>-55</c:v>
                </c:pt>
                <c:pt idx="22">
                  <c:v>-50</c:v>
                </c:pt>
                <c:pt idx="23">
                  <c:v>-76</c:v>
                </c:pt>
              </c:numCache>
            </c:numRef>
          </c:val>
          <c:extLst>
            <c:ext xmlns:c16="http://schemas.microsoft.com/office/drawing/2014/chart" uri="{C3380CC4-5D6E-409C-BE32-E72D297353CC}">
              <c16:uniqueId val="{00000000-ACDA-4ED1-981A-0A369B2EDB8F}"/>
            </c:ext>
          </c:extLst>
        </c:ser>
        <c:ser>
          <c:idx val="1"/>
          <c:order val="1"/>
          <c:tx>
            <c:strRef>
              <c:f>'pomak sjedala'!$C$1</c:f>
              <c:strCache>
                <c:ptCount val="1"/>
                <c:pt idx="0">
                  <c:v>PSNNF</c:v>
                </c:pt>
              </c:strCache>
            </c:strRef>
          </c:tx>
          <c:invertIfNegative val="0"/>
          <c:cat>
            <c:strRef>
              <c:f>'pomak sjedala'!$A$2:$A$25</c:f>
              <c:strCache>
                <c:ptCount val="24"/>
                <c:pt idx="0">
                  <c:v>R1</c:v>
                </c:pt>
                <c:pt idx="1">
                  <c:v>R2</c:v>
                </c:pt>
                <c:pt idx="2">
                  <c:v>R3</c:v>
                </c:pt>
                <c:pt idx="3">
                  <c:v>R4</c:v>
                </c:pt>
                <c:pt idx="4">
                  <c:v>R5</c:v>
                </c:pt>
                <c:pt idx="5">
                  <c:v>R6</c:v>
                </c:pt>
                <c:pt idx="6">
                  <c:v>R7</c:v>
                </c:pt>
                <c:pt idx="7">
                  <c:v>R8</c:v>
                </c:pt>
                <c:pt idx="8">
                  <c:v>R9</c:v>
                </c:pt>
                <c:pt idx="9">
                  <c:v>R10</c:v>
                </c:pt>
                <c:pt idx="10">
                  <c:v>R11</c:v>
                </c:pt>
                <c:pt idx="11">
                  <c:v>R12</c:v>
                </c:pt>
                <c:pt idx="12">
                  <c:v>R13</c:v>
                </c:pt>
                <c:pt idx="13">
                  <c:v>R14</c:v>
                </c:pt>
                <c:pt idx="14">
                  <c:v>R15</c:v>
                </c:pt>
                <c:pt idx="15">
                  <c:v>R16</c:v>
                </c:pt>
                <c:pt idx="16">
                  <c:v>R17</c:v>
                </c:pt>
                <c:pt idx="17">
                  <c:v>R18</c:v>
                </c:pt>
                <c:pt idx="18">
                  <c:v>R19</c:v>
                </c:pt>
                <c:pt idx="19">
                  <c:v>R20</c:v>
                </c:pt>
                <c:pt idx="20">
                  <c:v>R21</c:v>
                </c:pt>
                <c:pt idx="21">
                  <c:v>R22</c:v>
                </c:pt>
                <c:pt idx="22">
                  <c:v>R23</c:v>
                </c:pt>
                <c:pt idx="23">
                  <c:v>R24</c:v>
                </c:pt>
              </c:strCache>
            </c:strRef>
          </c:cat>
          <c:val>
            <c:numRef>
              <c:f>'pomak sjedala'!$C$2:$C$25</c:f>
              <c:numCache>
                <c:formatCode>General</c:formatCode>
                <c:ptCount val="24"/>
                <c:pt idx="0">
                  <c:v>-78</c:v>
                </c:pt>
                <c:pt idx="1">
                  <c:v>-80</c:v>
                </c:pt>
                <c:pt idx="2">
                  <c:v>-108</c:v>
                </c:pt>
                <c:pt idx="3">
                  <c:v>-40</c:v>
                </c:pt>
                <c:pt idx="4">
                  <c:v>-105</c:v>
                </c:pt>
                <c:pt idx="5">
                  <c:v>-45</c:v>
                </c:pt>
                <c:pt idx="6">
                  <c:v>-85</c:v>
                </c:pt>
                <c:pt idx="7">
                  <c:v>-90</c:v>
                </c:pt>
                <c:pt idx="8">
                  <c:v>-73</c:v>
                </c:pt>
                <c:pt idx="9">
                  <c:v>-73</c:v>
                </c:pt>
                <c:pt idx="10">
                  <c:v>-89</c:v>
                </c:pt>
                <c:pt idx="11">
                  <c:v>-35</c:v>
                </c:pt>
                <c:pt idx="12">
                  <c:v>-110</c:v>
                </c:pt>
                <c:pt idx="13">
                  <c:v>-55</c:v>
                </c:pt>
                <c:pt idx="14">
                  <c:v>-97</c:v>
                </c:pt>
                <c:pt idx="15">
                  <c:v>-95</c:v>
                </c:pt>
                <c:pt idx="16">
                  <c:v>-65</c:v>
                </c:pt>
                <c:pt idx="17">
                  <c:v>-11</c:v>
                </c:pt>
                <c:pt idx="18">
                  <c:v>-110</c:v>
                </c:pt>
                <c:pt idx="19">
                  <c:v>-70</c:v>
                </c:pt>
                <c:pt idx="20">
                  <c:v>-85</c:v>
                </c:pt>
                <c:pt idx="21">
                  <c:v>-80</c:v>
                </c:pt>
                <c:pt idx="22">
                  <c:v>-30</c:v>
                </c:pt>
                <c:pt idx="23">
                  <c:v>-82</c:v>
                </c:pt>
              </c:numCache>
            </c:numRef>
          </c:val>
          <c:extLst>
            <c:ext xmlns:c16="http://schemas.microsoft.com/office/drawing/2014/chart" uri="{C3380CC4-5D6E-409C-BE32-E72D297353CC}">
              <c16:uniqueId val="{00000001-ACDA-4ED1-981A-0A369B2EDB8F}"/>
            </c:ext>
          </c:extLst>
        </c:ser>
        <c:dLbls>
          <c:showLegendKey val="0"/>
          <c:showVal val="0"/>
          <c:showCatName val="0"/>
          <c:showSerName val="0"/>
          <c:showPercent val="0"/>
          <c:showBubbleSize val="0"/>
        </c:dLbls>
        <c:gapWidth val="150"/>
        <c:axId val="18446592"/>
        <c:axId val="18452864"/>
      </c:barChart>
      <c:catAx>
        <c:axId val="18446592"/>
        <c:scaling>
          <c:orientation val="minMax"/>
        </c:scaling>
        <c:delete val="0"/>
        <c:axPos val="b"/>
        <c:title>
          <c:tx>
            <c:rich>
              <a:bodyPr/>
              <a:lstStyle/>
              <a:p>
                <a:pPr>
                  <a:defRPr/>
                </a:pPr>
                <a:r>
                  <a:rPr lang="hr-HR"/>
                  <a:t>Ispitanik</a:t>
                </a:r>
              </a:p>
            </c:rich>
          </c:tx>
          <c:overlay val="0"/>
        </c:title>
        <c:numFmt formatCode="General" sourceLinked="0"/>
        <c:majorTickMark val="out"/>
        <c:minorTickMark val="none"/>
        <c:tickLblPos val="high"/>
        <c:crossAx val="18452864"/>
        <c:crosses val="autoZero"/>
        <c:auto val="1"/>
        <c:lblAlgn val="ctr"/>
        <c:lblOffset val="0"/>
        <c:noMultiLvlLbl val="0"/>
      </c:catAx>
      <c:valAx>
        <c:axId val="18452864"/>
        <c:scaling>
          <c:orientation val="minMax"/>
        </c:scaling>
        <c:delete val="0"/>
        <c:axPos val="l"/>
        <c:majorGridlines/>
        <c:title>
          <c:tx>
            <c:rich>
              <a:bodyPr/>
              <a:lstStyle/>
              <a:p>
                <a:pPr>
                  <a:defRPr/>
                </a:pPr>
                <a:r>
                  <a:rPr lang="hr-HR"/>
                  <a:t>pomak</a:t>
                </a:r>
                <a:r>
                  <a:rPr lang="hr-HR" baseline="0"/>
                  <a:t> sjedala / mm</a:t>
                </a:r>
                <a:endParaRPr lang="hr-HR"/>
              </a:p>
            </c:rich>
          </c:tx>
          <c:overlay val="0"/>
        </c:title>
        <c:numFmt formatCode="General" sourceLinked="1"/>
        <c:majorTickMark val="out"/>
        <c:minorTickMark val="none"/>
        <c:tickLblPos val="nextTo"/>
        <c:crossAx val="184465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76B1-A53C-4197-A0F4-D4D86D19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2385</Words>
  <Characters>13601</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Fabian Babić</cp:lastModifiedBy>
  <cp:revision>3</cp:revision>
  <cp:lastPrinted>2017-04-25T13:55:00Z</cp:lastPrinted>
  <dcterms:created xsi:type="dcterms:W3CDTF">2019-01-10T17:59:00Z</dcterms:created>
  <dcterms:modified xsi:type="dcterms:W3CDTF">2019-01-10T18:00:00Z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-234191085</vt:i4>
  </property>
</Properties>
</file>